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880B452" w14:textId="77777777" w:rsidR="00743B11" w:rsidRPr="008E2121" w:rsidRDefault="00743B11" w:rsidP="00743B11">
      <w:pPr>
        <w:pStyle w:val="n"/>
        <w:widowControl/>
        <w:ind w:firstLine="0"/>
        <w:jc w:val="center"/>
        <w:rPr>
          <w:b/>
          <w:iCs/>
          <w:szCs w:val="24"/>
          <w:lang w:val="it-IT"/>
        </w:rPr>
      </w:pPr>
      <w:r w:rsidRPr="008E2121">
        <w:rPr>
          <w:b/>
          <w:lang w:val="it-IT"/>
        </w:rPr>
        <w:t>Problemi interpretativi del can. 1095 e questioni “de iure condendo”</w:t>
      </w:r>
    </w:p>
    <w:p w14:paraId="7C92A107" w14:textId="77777777" w:rsidR="00743B11" w:rsidRPr="002C7715" w:rsidRDefault="00743B11" w:rsidP="00743B11">
      <w:pPr>
        <w:pStyle w:val="n"/>
        <w:widowControl/>
        <w:ind w:firstLine="0"/>
        <w:jc w:val="center"/>
        <w:rPr>
          <w:smallCaps/>
          <w:szCs w:val="24"/>
          <w:lang w:val="it-IT"/>
        </w:rPr>
      </w:pPr>
      <w:r w:rsidRPr="002C7715">
        <w:rPr>
          <w:smallCaps/>
          <w:szCs w:val="24"/>
          <w:lang w:val="it-IT"/>
        </w:rPr>
        <w:t>Héctor Franceschi</w:t>
      </w:r>
    </w:p>
    <w:p w14:paraId="3065E009" w14:textId="5EE0651B" w:rsidR="00743B11" w:rsidRPr="00501C2D" w:rsidRDefault="00743B11" w:rsidP="002C7715">
      <w:pPr>
        <w:pStyle w:val="n"/>
        <w:widowControl/>
        <w:ind w:firstLine="0"/>
        <w:jc w:val="center"/>
        <w:rPr>
          <w:i/>
          <w:iCs/>
          <w:szCs w:val="24"/>
          <w:lang w:val="it-IT"/>
        </w:rPr>
      </w:pPr>
      <w:bookmarkStart w:id="0" w:name="_GoBack"/>
      <w:bookmarkEnd w:id="0"/>
      <w:r w:rsidRPr="00501C2D">
        <w:rPr>
          <w:i/>
          <w:iCs/>
          <w:szCs w:val="24"/>
          <w:lang w:val="it-IT"/>
        </w:rPr>
        <w:t>Pontificia Università della Santa Croce</w:t>
      </w:r>
    </w:p>
    <w:p w14:paraId="4F509222" w14:textId="77777777" w:rsidR="00743B11" w:rsidRDefault="00743B11" w:rsidP="00743B11">
      <w:pPr>
        <w:pStyle w:val="n"/>
        <w:widowControl/>
        <w:rPr>
          <w:b/>
          <w:szCs w:val="24"/>
          <w:lang w:val="it-IT"/>
        </w:rPr>
      </w:pPr>
    </w:p>
    <w:p w14:paraId="63C80D7B" w14:textId="079EA5ED" w:rsidR="002C7715" w:rsidRDefault="003A574F" w:rsidP="00743B11">
      <w:pPr>
        <w:pStyle w:val="n"/>
        <w:widowControl/>
        <w:rPr>
          <w:lang w:val="it-IT"/>
        </w:rPr>
      </w:pPr>
      <w:r w:rsidRPr="003A574F">
        <w:rPr>
          <w:i/>
          <w:lang w:val="it-IT"/>
        </w:rPr>
        <w:t>Sommario. 1. Introduzione. 2. Alcune questioni discusse circa l’incapacità psichica: 2.1. L’immaturità psico-afettiva; 2.2. La qualifica giuridica del cosiddetto “difetto di libertà interna”; 2.3. L‘incapacità relativa. 3. La relazione tra il grave difetto della discrezione di giudizio e l’incapacità di assumere gli obblighi essenziali del matrimonio dal punto di vista della volontà. 4. Alcune proposte de iure condendo alla luce dell’esperienza di trent’anni di applicazione del canone 1095: 4.1. Premessa; 4.2. Diverse proposte di riforma del canone 1095; 4.3. Altre proposte per aiutare un’adeguata comprensione dell’incapacità psichica. 5. Conclusione</w:t>
      </w:r>
      <w:r>
        <w:rPr>
          <w:i/>
          <w:lang w:val="it-IT"/>
        </w:rPr>
        <w:t>.</w:t>
      </w:r>
    </w:p>
    <w:p w14:paraId="6C503B9A" w14:textId="77777777" w:rsidR="003A574F" w:rsidRDefault="003A574F" w:rsidP="00743B11">
      <w:pPr>
        <w:pStyle w:val="n"/>
        <w:widowControl/>
        <w:rPr>
          <w:lang w:val="it-IT"/>
        </w:rPr>
      </w:pPr>
    </w:p>
    <w:p w14:paraId="5D0B8039" w14:textId="77777777" w:rsidR="003A574F" w:rsidRPr="003A574F" w:rsidRDefault="003A574F" w:rsidP="00743B11">
      <w:pPr>
        <w:pStyle w:val="n"/>
        <w:widowControl/>
        <w:rPr>
          <w:b/>
          <w:szCs w:val="24"/>
          <w:lang w:val="it-IT"/>
        </w:rPr>
      </w:pPr>
    </w:p>
    <w:p w14:paraId="61030C86" w14:textId="77777777" w:rsidR="00743B11" w:rsidRPr="00501C2D" w:rsidRDefault="00743B11" w:rsidP="00743B11">
      <w:pPr>
        <w:pStyle w:val="n"/>
        <w:widowControl/>
        <w:rPr>
          <w:b/>
          <w:szCs w:val="24"/>
          <w:lang w:val="it-IT"/>
        </w:rPr>
      </w:pPr>
      <w:r w:rsidRPr="00501C2D">
        <w:rPr>
          <w:b/>
          <w:szCs w:val="24"/>
          <w:lang w:val="it-IT"/>
        </w:rPr>
        <w:t>1. Introduzione</w:t>
      </w:r>
    </w:p>
    <w:p w14:paraId="4D045947" w14:textId="77777777" w:rsidR="00743B11" w:rsidRPr="00501C2D" w:rsidRDefault="00743B11" w:rsidP="00743B11">
      <w:pPr>
        <w:pStyle w:val="n"/>
        <w:widowControl/>
        <w:rPr>
          <w:lang w:val="it-IT"/>
        </w:rPr>
      </w:pPr>
      <w:r w:rsidRPr="00501C2D">
        <w:rPr>
          <w:szCs w:val="24"/>
          <w:lang w:val="it-IT"/>
        </w:rPr>
        <w:t>Nel corso di questi anni, in diversi articoli, ho analizzato alcune questioni problematiche sull’interpretazione ed applicazione del canone 1095</w:t>
      </w:r>
      <w:r w:rsidRPr="00516CAD">
        <w:rPr>
          <w:rStyle w:val="Caratteredellanota"/>
          <w:vertAlign w:val="superscript"/>
          <w:lang w:val="it-IT"/>
        </w:rPr>
        <w:footnoteReference w:id="1"/>
      </w:r>
      <w:r w:rsidRPr="00501C2D">
        <w:rPr>
          <w:szCs w:val="24"/>
          <w:lang w:val="it-IT"/>
        </w:rPr>
        <w:t>. La finalità di questa sessione, più che proporre nuove questioni circa questo canone, è quella di presentare in modo unitario quanto ho scritto su questi temi e ho analizzato separatamente in alcuni degli articoli sopra citati, poiché ritengo che l’esperienza di questi trent’anni di vigenza del canone 1095 dimostri chiaramente la difficoltà di interpretarlo in modo adeguato e ci pon</w:t>
      </w:r>
      <w:r w:rsidR="00835803">
        <w:rPr>
          <w:szCs w:val="24"/>
          <w:lang w:val="it-IT"/>
        </w:rPr>
        <w:t>e l’interrogativo</w:t>
      </w:r>
      <w:r w:rsidRPr="00501C2D">
        <w:rPr>
          <w:szCs w:val="24"/>
          <w:lang w:val="it-IT"/>
        </w:rPr>
        <w:t xml:space="preserve"> se non sarebbe necessaria una nuova redazione del canone che venga incontro ai punti che, tanto in dottrina quanto in Giurisprudenza, si sono dimostrati poco chiari e, talvolta, equivoci. Basti ricordare quanto diceva Giovanni Paolo II nel suo discorso alla Rota Romana già nell’anno 1986: «</w:t>
      </w:r>
      <w:r w:rsidRPr="00501C2D">
        <w:rPr>
          <w:lang w:val="it-IT"/>
        </w:rPr>
        <w:t xml:space="preserve">Indubbiamente l’applicazione del nuovo Codice può correre il rischio di interpretazioni innovative imprecise o incoerenti, particolarmente nel caso di </w:t>
      </w:r>
      <w:r w:rsidRPr="00501C2D">
        <w:rPr>
          <w:lang w:val="it-IT"/>
        </w:rPr>
        <w:lastRenderedPageBreak/>
        <w:t>perturbazioni psichiche invalidanti il consenso matrimoniale (can. 1095)»</w:t>
      </w:r>
      <w:r w:rsidR="00DE4FB0">
        <w:rPr>
          <w:rStyle w:val="Rimandonotaapidipagina"/>
          <w:lang w:val="it-IT"/>
        </w:rPr>
        <w:footnoteReference w:id="2"/>
      </w:r>
      <w:r w:rsidR="00DE4FB0">
        <w:rPr>
          <w:lang w:val="it-IT"/>
        </w:rPr>
        <w:t>. E nell’</w:t>
      </w:r>
      <w:r w:rsidRPr="00501C2D">
        <w:rPr>
          <w:lang w:val="it-IT"/>
        </w:rPr>
        <w:t xml:space="preserve">anno successivo, nel suo discorso alla Rota, parlando del lavoro dei giudici ecclesiastici, in modo particolare nelle </w:t>
      </w:r>
      <w:r w:rsidR="00DE4FB0">
        <w:rPr>
          <w:lang w:val="it-IT"/>
        </w:rPr>
        <w:t xml:space="preserve">cause riguardanti l’incapacità </w:t>
      </w:r>
      <w:r w:rsidRPr="00501C2D">
        <w:rPr>
          <w:lang w:val="it-IT"/>
        </w:rPr>
        <w:t>e degli abusi che si erano già presentati nella sua applicazione, diceva che la loro missione «è ministero di carità verso la comunità ecclesiale, che viene preservata dallo scandalo di vedere in pratica distrutto il valore del matrimonio cristiano dal moltiplicarsi esagerato e quasi automatico delle dichiarazioni di nullità, in caso di fallimento del matrimonio, sotto il pretesto di una qualche immaturità o debolezza psichica dei contraenti»</w:t>
      </w:r>
      <w:r w:rsidR="00DE4FB0">
        <w:rPr>
          <w:rStyle w:val="Rimandonotaapidipagina"/>
          <w:lang w:val="it-IT"/>
        </w:rPr>
        <w:footnoteReference w:id="3"/>
      </w:r>
      <w:r w:rsidRPr="00501C2D">
        <w:rPr>
          <w:lang w:val="it-IT"/>
        </w:rPr>
        <w:t>.</w:t>
      </w:r>
    </w:p>
    <w:p w14:paraId="3AE1E883" w14:textId="77777777" w:rsidR="00743B11" w:rsidRPr="00501C2D" w:rsidRDefault="00743B11" w:rsidP="00743B11">
      <w:pPr>
        <w:pStyle w:val="n"/>
        <w:widowControl/>
        <w:rPr>
          <w:lang w:val="it-IT"/>
        </w:rPr>
      </w:pPr>
      <w:r w:rsidRPr="00501C2D">
        <w:rPr>
          <w:lang w:val="it-IT"/>
        </w:rPr>
        <w:t>Sul tema oggetto della nostra sessione, come ben sappiamo, ci sono stati costanti interventi dei Pont</w:t>
      </w:r>
      <w:r w:rsidR="005E5159">
        <w:rPr>
          <w:lang w:val="it-IT"/>
        </w:rPr>
        <w:t>e</w:t>
      </w:r>
      <w:r w:rsidRPr="00501C2D">
        <w:rPr>
          <w:lang w:val="it-IT"/>
        </w:rPr>
        <w:t>fici — soprattutto nei Discorso alla Rota Romana — allo scopo di arginare le interpretazioni sbagliate di questo canone, alcune di esse dedicate in modo quasi monografico al significato e ai requisiti della vera incapacità psichica per il consenso, negli anni 1987, 1988, 1997, da parte di Giovanni Paolo II, e nel 2009, da parte di Benedetto XVI</w:t>
      </w:r>
      <w:r w:rsidR="00DE4FB0">
        <w:rPr>
          <w:rStyle w:val="Rimandonotaapidipagina"/>
          <w:lang w:val="it-IT"/>
        </w:rPr>
        <w:footnoteReference w:id="4"/>
      </w:r>
      <w:r w:rsidRPr="00501C2D">
        <w:rPr>
          <w:lang w:val="it-IT"/>
        </w:rPr>
        <w:t xml:space="preserve">. Questi discorsi vengono spesso citati dalle sentenze di nullità riguardanti l’incapacità, ma viene spontanea la domanda, visto il modo in cui viene applicato da tanti tribunali locali, se essi siano stati capiti fino in fondo e, soprattutto, se i tribunali abbiano capito nella sua essenza la nozione di incapacità consensuale di cui al suddetto canone. Infine, anche l’Istruzione </w:t>
      </w:r>
      <w:r w:rsidRPr="00501C2D">
        <w:rPr>
          <w:i/>
          <w:lang w:val="it-IT"/>
        </w:rPr>
        <w:t>Dignitas Connubii</w:t>
      </w:r>
      <w:r w:rsidRPr="00501C2D">
        <w:rPr>
          <w:lang w:val="it-IT"/>
        </w:rPr>
        <w:t xml:space="preserve"> del Pontificio Consiglio per i Testi Legislativi — promulgata nell’anno 2005 e confermata da Benedetto XVI nel suo primo discorso alla Rota Romana nell’anno 2006</w:t>
      </w:r>
      <w:r w:rsidRPr="00501C2D">
        <w:rPr>
          <w:rStyle w:val="Rimandonotaapidipagina"/>
          <w:lang w:val="it-IT"/>
        </w:rPr>
        <w:footnoteReference w:id="5"/>
      </w:r>
      <w:r w:rsidRPr="00501C2D">
        <w:rPr>
          <w:lang w:val="it-IT"/>
        </w:rPr>
        <w:t xml:space="preserve"> — soprattutto negli artt. 203-213 riguardanti i periti, esplicita quali siano gli elementi che costituiscono una vera incapacità in ognuna delle sue dimensioni: uso di ragione, discrezione di giudizio e capacità di assumere.</w:t>
      </w:r>
    </w:p>
    <w:p w14:paraId="07A1BCC4" w14:textId="77777777" w:rsidR="00743B11" w:rsidRPr="00501C2D" w:rsidRDefault="00743B11" w:rsidP="00743B11">
      <w:pPr>
        <w:pStyle w:val="n"/>
        <w:widowControl/>
        <w:rPr>
          <w:lang w:val="it-IT"/>
        </w:rPr>
      </w:pPr>
      <w:r w:rsidRPr="00501C2D">
        <w:rPr>
          <w:lang w:val="it-IT"/>
        </w:rPr>
        <w:t xml:space="preserve">Ciononostante, a mio avviso, al giorno d’oggi, non si può affermare che gli abusi nell’applicazione del canone 1095 siano scomparsi. I numeri 2° e 3° del canone continuano ad essere, in molti tribunali, i capi di nullità nella </w:t>
      </w:r>
      <w:r w:rsidR="005E5159">
        <w:rPr>
          <w:lang w:val="it-IT"/>
        </w:rPr>
        <w:t>quasi</w:t>
      </w:r>
      <w:r w:rsidR="005E5159" w:rsidRPr="00501C2D">
        <w:rPr>
          <w:lang w:val="it-IT"/>
        </w:rPr>
        <w:t xml:space="preserve"> </w:t>
      </w:r>
      <w:r w:rsidRPr="00501C2D">
        <w:rPr>
          <w:lang w:val="it-IT"/>
        </w:rPr>
        <w:t>totalità delle cause matrimoniali, quasi sempre affermative. In non pochi tribunali, continuano ad usarsi come capi di nullità, senza un esplicito riferimento a uno dei numeri del canone, delle fattispecie che potevano avere una qualche ragion di essere quando la capacità psichica non era stata regolamentata dal Codice. Mi riferisco, soprattutto, all’immaturità affettiva e alla mancanza di libertà interna. In altri casi, il canone 1095 viene interpretato in un senso tanto largo che, si potrebbe dire, sarebbero pochi coloro che possono “sfuggire” all’incapacità, arrivandosi persino ad una quasi identificazione del fallimento con la nullità, come capita spesso nei tribunali che ammettono la cosiddetta incapacità relativa.</w:t>
      </w:r>
    </w:p>
    <w:p w14:paraId="62D35024" w14:textId="77777777" w:rsidR="00743B11" w:rsidRPr="00501C2D" w:rsidRDefault="00743B11" w:rsidP="00743B11">
      <w:pPr>
        <w:pStyle w:val="n"/>
        <w:widowControl/>
        <w:rPr>
          <w:lang w:val="it-IT"/>
        </w:rPr>
      </w:pPr>
      <w:r w:rsidRPr="00501C2D">
        <w:rPr>
          <w:lang w:val="it-IT"/>
        </w:rPr>
        <w:t xml:space="preserve">Davanti a questa situazione, il Tribunale della Rota Romana ha fatto sin dalla promulgazione del Codice un lavoro di approfondimento e di interpretazione di questo canone che, però, non è stato recepito da molti tribunali locali. Molta di questa giurisprudenza, insieme ai principi generali chiariti nei discorsi alla Rota dallo stesso </w:t>
      </w:r>
      <w:r w:rsidRPr="00501C2D">
        <w:rPr>
          <w:lang w:val="it-IT"/>
        </w:rPr>
        <w:lastRenderedPageBreak/>
        <w:t xml:space="preserve">legislatore, sono stati raccolti dall’Istruzione </w:t>
      </w:r>
      <w:r w:rsidRPr="00501C2D">
        <w:rPr>
          <w:i/>
          <w:lang w:val="it-IT"/>
        </w:rPr>
        <w:t>Dignitas Connubii</w:t>
      </w:r>
      <w:r w:rsidRPr="00501C2D">
        <w:rPr>
          <w:rStyle w:val="Rimandonotaapidipagina"/>
          <w:lang w:val="it-IT"/>
        </w:rPr>
        <w:footnoteReference w:id="6"/>
      </w:r>
      <w:r w:rsidRPr="00501C2D">
        <w:rPr>
          <w:lang w:val="it-IT"/>
        </w:rPr>
        <w:t>, ma l’esperienza ha dimostrato che neanche ciò è stato sufficiente.</w:t>
      </w:r>
    </w:p>
    <w:p w14:paraId="5FB663F8" w14:textId="77777777" w:rsidR="00743B11" w:rsidRPr="00501C2D" w:rsidRDefault="00743B11" w:rsidP="00743B11">
      <w:pPr>
        <w:pStyle w:val="n"/>
        <w:widowControl/>
        <w:rPr>
          <w:lang w:val="it-IT"/>
        </w:rPr>
      </w:pPr>
      <w:r w:rsidRPr="00501C2D">
        <w:rPr>
          <w:lang w:val="it-IT"/>
        </w:rPr>
        <w:t xml:space="preserve">Dinanzi a questa situazione, nel decidere i temi di questo corso di aggiornamento, </w:t>
      </w:r>
      <w:r w:rsidR="00E54622">
        <w:rPr>
          <w:lang w:val="it-IT"/>
        </w:rPr>
        <w:t>noi</w:t>
      </w:r>
      <w:r w:rsidR="00E54622" w:rsidRPr="00501C2D">
        <w:rPr>
          <w:lang w:val="it-IT"/>
        </w:rPr>
        <w:t xml:space="preserve"> </w:t>
      </w:r>
      <w:r w:rsidRPr="00501C2D">
        <w:rPr>
          <w:lang w:val="it-IT"/>
        </w:rPr>
        <w:t xml:space="preserve">organizzatori abbiamo deciso di includere questa sessione sulle questioni problematiche riguardanti l’applicazione del canone 1095, per finire facendo alcune proposte </w:t>
      </w:r>
      <w:r w:rsidRPr="00501C2D">
        <w:rPr>
          <w:i/>
          <w:lang w:val="it-IT"/>
        </w:rPr>
        <w:t>de iure condendo</w:t>
      </w:r>
      <w:r w:rsidRPr="00501C2D">
        <w:rPr>
          <w:lang w:val="it-IT"/>
        </w:rPr>
        <w:t xml:space="preserve"> nel caso il legislatore ritenesse opportuno procedere a una riforma del canone per renderlo più chiaro e così venire incontro agli abusi che ancora esistono presso alcuni tribunali.</w:t>
      </w:r>
    </w:p>
    <w:p w14:paraId="73261AB3" w14:textId="77777777" w:rsidR="00743B11" w:rsidRPr="00501C2D" w:rsidRDefault="00743B11" w:rsidP="00743B11">
      <w:pPr>
        <w:pStyle w:val="n"/>
        <w:widowControl/>
        <w:rPr>
          <w:lang w:val="it-IT"/>
        </w:rPr>
      </w:pPr>
      <w:r w:rsidRPr="00501C2D">
        <w:rPr>
          <w:lang w:val="it-IT"/>
        </w:rPr>
        <w:t>Perciò, lo scopo di questo intervento non è tanto quello di fare un’analisi di tutt</w:t>
      </w:r>
      <w:r w:rsidR="00E54622">
        <w:rPr>
          <w:lang w:val="it-IT"/>
        </w:rPr>
        <w:t>a</w:t>
      </w:r>
      <w:r w:rsidRPr="00501C2D">
        <w:rPr>
          <w:lang w:val="it-IT"/>
        </w:rPr>
        <w:t xml:space="preserve"> l</w:t>
      </w:r>
      <w:r w:rsidR="00E54622">
        <w:rPr>
          <w:lang w:val="it-IT"/>
        </w:rPr>
        <w:t>’evoluzione</w:t>
      </w:r>
      <w:r w:rsidRPr="00501C2D">
        <w:rPr>
          <w:lang w:val="it-IT"/>
        </w:rPr>
        <w:t xml:space="preserve"> della giurisprudenza e della dottrina riguardante il canone 1095, cosa impossibile in un’unica relazione, tanto che la nostra Facoltà </w:t>
      </w:r>
      <w:r w:rsidR="00E54622">
        <w:rPr>
          <w:lang w:val="it-IT"/>
        </w:rPr>
        <w:t>vi</w:t>
      </w:r>
      <w:r w:rsidRPr="00501C2D">
        <w:rPr>
          <w:lang w:val="it-IT"/>
        </w:rPr>
        <w:t xml:space="preserve"> dedicò nel 2012 un intero Convegno</w:t>
      </w:r>
      <w:r w:rsidRPr="00501C2D">
        <w:rPr>
          <w:rStyle w:val="Rimandonotaapidipagina"/>
          <w:lang w:val="it-IT"/>
        </w:rPr>
        <w:footnoteReference w:id="7"/>
      </w:r>
      <w:r w:rsidRPr="00501C2D">
        <w:rPr>
          <w:lang w:val="it-IT"/>
        </w:rPr>
        <w:t>.</w:t>
      </w:r>
    </w:p>
    <w:p w14:paraId="17DB3DAA" w14:textId="3627136C" w:rsidR="00743B11" w:rsidRPr="00501C2D" w:rsidRDefault="00743B11" w:rsidP="00743B11">
      <w:pPr>
        <w:pStyle w:val="n"/>
        <w:widowControl/>
        <w:rPr>
          <w:szCs w:val="24"/>
          <w:lang w:val="it-IT"/>
        </w:rPr>
      </w:pPr>
      <w:r w:rsidRPr="00501C2D">
        <w:rPr>
          <w:szCs w:val="24"/>
          <w:lang w:val="it-IT"/>
        </w:rPr>
        <w:t xml:space="preserve">È difficile esporre in un </w:t>
      </w:r>
      <w:r w:rsidR="00A109FA">
        <w:rPr>
          <w:szCs w:val="24"/>
          <w:lang w:val="it-IT"/>
        </w:rPr>
        <w:t>articolo</w:t>
      </w:r>
      <w:r w:rsidRPr="00501C2D">
        <w:rPr>
          <w:szCs w:val="24"/>
          <w:lang w:val="it-IT"/>
        </w:rPr>
        <w:t xml:space="preserve"> tutti gli elementi riguardanti il canone 1095. Sono molte le sfumature dell’argomento, per cui in questa sessione concentrerò la mia attenzione soltanto su alcuni aspetti discussi, presentati insieme per tentare di dare un contributo alla comprensione del canone e di chiarire alcune interpretazioni che sono state fatte lungo questi anni, per poi finire con delle proposte di riforma, alcune delle quali sono venute fuori nel poc’anzi menzionato Convegno.</w:t>
      </w:r>
    </w:p>
    <w:p w14:paraId="50D96751" w14:textId="77777777" w:rsidR="00743B11" w:rsidRPr="00501C2D" w:rsidRDefault="00743B11" w:rsidP="00743B11">
      <w:pPr>
        <w:pStyle w:val="n"/>
        <w:widowControl/>
        <w:rPr>
          <w:szCs w:val="24"/>
          <w:lang w:val="it-IT"/>
        </w:rPr>
      </w:pPr>
      <w:r w:rsidRPr="00501C2D">
        <w:rPr>
          <w:szCs w:val="24"/>
          <w:lang w:val="it-IT"/>
        </w:rPr>
        <w:t>Tra i temi che sono stati ampiamente sviluppati dalla dottrina e dalla giurisprudenza, e che continuano ad essere oggetto di dibattito tanto in dottrina quanto in sede di applicazione del canone, penso di fare riferimento alle seguenti questioni, consapevole che alcune di esse verranno sviluppate più approfonditamente in altre relazioni:</w:t>
      </w:r>
    </w:p>
    <w:p w14:paraId="3F5D6FFC" w14:textId="77777777" w:rsidR="00743B11" w:rsidRPr="00501C2D" w:rsidRDefault="00743B11" w:rsidP="00743B11">
      <w:pPr>
        <w:pStyle w:val="n"/>
        <w:widowControl/>
        <w:rPr>
          <w:szCs w:val="24"/>
          <w:lang w:val="it-IT"/>
        </w:rPr>
      </w:pPr>
      <w:r w:rsidRPr="00501C2D">
        <w:rPr>
          <w:szCs w:val="24"/>
          <w:lang w:val="it-IT"/>
        </w:rPr>
        <w:t>a) il significato dell’immaturità affettiva o psicoaffettiva;</w:t>
      </w:r>
    </w:p>
    <w:p w14:paraId="7E9DDD0D" w14:textId="77777777" w:rsidR="00743B11" w:rsidRPr="00501C2D" w:rsidRDefault="00743B11" w:rsidP="00743B11">
      <w:pPr>
        <w:pStyle w:val="n"/>
        <w:widowControl/>
        <w:rPr>
          <w:szCs w:val="24"/>
          <w:lang w:val="it-IT"/>
        </w:rPr>
      </w:pPr>
      <w:r w:rsidRPr="00501C2D">
        <w:rPr>
          <w:szCs w:val="24"/>
          <w:lang w:val="it-IT"/>
        </w:rPr>
        <w:t>b) la qualifica giuridica della mancanza di libertà interna;</w:t>
      </w:r>
    </w:p>
    <w:p w14:paraId="09363902" w14:textId="77777777" w:rsidR="00743B11" w:rsidRPr="00501C2D" w:rsidRDefault="00743B11" w:rsidP="00743B11">
      <w:pPr>
        <w:pStyle w:val="n"/>
        <w:widowControl/>
        <w:rPr>
          <w:szCs w:val="24"/>
          <w:lang w:val="it-IT"/>
        </w:rPr>
      </w:pPr>
      <w:r w:rsidRPr="00501C2D">
        <w:rPr>
          <w:szCs w:val="24"/>
          <w:lang w:val="it-IT"/>
        </w:rPr>
        <w:t>c) l’ammissibilità o meno dell’incapacità relativa;</w:t>
      </w:r>
    </w:p>
    <w:p w14:paraId="0035A9D1" w14:textId="77777777" w:rsidR="00743B11" w:rsidRPr="00501C2D" w:rsidRDefault="00743B11" w:rsidP="00743B11">
      <w:pPr>
        <w:pStyle w:val="n"/>
        <w:widowControl/>
        <w:rPr>
          <w:szCs w:val="24"/>
          <w:lang w:val="it-IT"/>
        </w:rPr>
      </w:pPr>
      <w:r w:rsidRPr="00501C2D">
        <w:rPr>
          <w:szCs w:val="24"/>
          <w:lang w:val="it-IT"/>
        </w:rPr>
        <w:t>d) il rapporto tra il difetto grave della discrezione di giudizio e l’incapacità di assumere gli obblighi coniugali per una causa psichica.</w:t>
      </w:r>
    </w:p>
    <w:p w14:paraId="25C07139" w14:textId="77777777" w:rsidR="00743B11" w:rsidRPr="00501C2D" w:rsidRDefault="00743B11" w:rsidP="00743B11">
      <w:pPr>
        <w:pStyle w:val="n"/>
        <w:widowControl/>
        <w:rPr>
          <w:szCs w:val="24"/>
          <w:lang w:val="it-IT"/>
        </w:rPr>
      </w:pPr>
      <w:r w:rsidRPr="00501C2D">
        <w:rPr>
          <w:szCs w:val="24"/>
          <w:lang w:val="it-IT"/>
        </w:rPr>
        <w:t>Vista la finalità di questo intervento, il quale pretende di dare una visione d’insieme, mi limiterò a fare alcune considerazioni generali alla luce dell’interpretazione del canone dalla sua promulgazione fino ai nostri giorni. Parlerò in primo luogo delle questioni problematiche spesso presenti nei tribunali: l’immaturità, il difetto di libertà interna e l’incapacità relativa. Poi, farò riferimento alla questione dell’autonomia del terzo numero del canone 1095</w:t>
      </w:r>
      <w:r w:rsidRPr="00273282">
        <w:rPr>
          <w:rStyle w:val="Caratteredellanota"/>
          <w:vertAlign w:val="superscript"/>
          <w:lang w:val="it-IT"/>
        </w:rPr>
        <w:footnoteReference w:id="8"/>
      </w:r>
      <w:r w:rsidRPr="00501C2D">
        <w:rPr>
          <w:szCs w:val="24"/>
          <w:lang w:val="it-IT"/>
        </w:rPr>
        <w:t xml:space="preserve">. Questo aspetto, vale a dire, la relazione tra la discrezione di giudizio e la capacità di assumere, è un tema di fondo che, a mio avviso, è essenziale per capire il canone. </w:t>
      </w:r>
      <w:r w:rsidR="00E54622">
        <w:rPr>
          <w:szCs w:val="24"/>
          <w:lang w:val="it-IT"/>
        </w:rPr>
        <w:t>Infine</w:t>
      </w:r>
      <w:r w:rsidRPr="00501C2D">
        <w:rPr>
          <w:szCs w:val="24"/>
          <w:lang w:val="it-IT"/>
        </w:rPr>
        <w:t xml:space="preserve">, presenterò alcune proposte di </w:t>
      </w:r>
      <w:r w:rsidRPr="00501C2D">
        <w:rPr>
          <w:szCs w:val="24"/>
          <w:lang w:val="it-IT"/>
        </w:rPr>
        <w:lastRenderedPageBreak/>
        <w:t>riforma del canone 1095 che, a mio parere, potrebbero rendere più facile la comprensione dell’incapacità dalla prospettiva di un’adeguata antropologia cristiana.</w:t>
      </w:r>
    </w:p>
    <w:p w14:paraId="62C45752" w14:textId="77777777" w:rsidR="00743B11" w:rsidRPr="00501C2D" w:rsidRDefault="00743B11" w:rsidP="00743B11">
      <w:pPr>
        <w:pStyle w:val="n"/>
        <w:widowControl/>
        <w:rPr>
          <w:b/>
          <w:szCs w:val="24"/>
          <w:lang w:val="it-IT"/>
        </w:rPr>
      </w:pPr>
      <w:r w:rsidRPr="00501C2D">
        <w:rPr>
          <w:b/>
          <w:szCs w:val="24"/>
          <w:lang w:val="it-IT"/>
        </w:rPr>
        <w:t>2. Alcune questioni discusse circa l’incapacità psichica</w:t>
      </w:r>
    </w:p>
    <w:p w14:paraId="2156D52F" w14:textId="77777777" w:rsidR="00743B11" w:rsidRPr="00501C2D" w:rsidRDefault="00743B11" w:rsidP="00743B11">
      <w:pPr>
        <w:pStyle w:val="n"/>
        <w:widowControl/>
        <w:rPr>
          <w:i/>
          <w:szCs w:val="24"/>
          <w:lang w:val="it-IT"/>
        </w:rPr>
      </w:pPr>
      <w:r w:rsidRPr="00501C2D">
        <w:rPr>
          <w:szCs w:val="24"/>
          <w:lang w:val="it-IT"/>
        </w:rPr>
        <w:t>2.1</w:t>
      </w:r>
      <w:r w:rsidRPr="00501C2D">
        <w:rPr>
          <w:i/>
          <w:szCs w:val="24"/>
          <w:lang w:val="it-IT"/>
        </w:rPr>
        <w:t>. L’immaturità psico-afettiva</w:t>
      </w:r>
    </w:p>
    <w:p w14:paraId="1B3D313C" w14:textId="5692C153" w:rsidR="00743B11" w:rsidRPr="00501C2D" w:rsidRDefault="00743B11" w:rsidP="00743B11">
      <w:pPr>
        <w:pStyle w:val="n"/>
        <w:widowControl/>
        <w:rPr>
          <w:szCs w:val="24"/>
          <w:lang w:val="it-IT"/>
        </w:rPr>
      </w:pPr>
      <w:r w:rsidRPr="00501C2D">
        <w:rPr>
          <w:szCs w:val="24"/>
          <w:lang w:val="it-IT"/>
        </w:rPr>
        <w:t>La giurisprudenza della Rota Romana non ammette facilmente l’immaturità affettiva come causa di nullità che potrebbe portare ad un difetto grave della discrezione di giudizio o, in alcuni casi, all’incapacità di assumere gli obblighi essenziali del matrimonio, tenuto conto che si tratta di una nozione troppo ambigua</w:t>
      </w:r>
      <w:r w:rsidRPr="009D4A0C">
        <w:rPr>
          <w:rStyle w:val="Caratteredellanota"/>
          <w:vertAlign w:val="superscript"/>
          <w:lang w:val="it-IT"/>
        </w:rPr>
        <w:footnoteReference w:id="9"/>
      </w:r>
      <w:r w:rsidRPr="00501C2D">
        <w:rPr>
          <w:szCs w:val="24"/>
          <w:lang w:val="it-IT"/>
        </w:rPr>
        <w:t>. Ad ogni modo, l’immaturità affettiva, che si era fatta strada nella giurisprudenza intercodiciale, non deve essere intesa come un capo autonomo di nullità, quando il legislatore ha stabilito chiaramente, nel can. 1095, le tre dimensioni dell’unica capacità consensuale. Perciò, dinanzi ad una fattispecie nella quale si scorge un certo grado di immaturità, la giurisprudenza ricorda ch</w:t>
      </w:r>
      <w:r w:rsidR="00A109FA">
        <w:rPr>
          <w:szCs w:val="24"/>
          <w:lang w:val="it-IT"/>
        </w:rPr>
        <w:t xml:space="preserve">e il giudice dovrà determinare </w:t>
      </w:r>
      <w:r w:rsidRPr="00501C2D">
        <w:rPr>
          <w:szCs w:val="24"/>
          <w:lang w:val="it-IT"/>
        </w:rPr>
        <w:t xml:space="preserve">se questa condizione di immaturità, che deve essere considerata come una possibile </w:t>
      </w:r>
      <w:r w:rsidRPr="00501C2D">
        <w:rPr>
          <w:i/>
          <w:szCs w:val="24"/>
          <w:lang w:val="it-IT"/>
        </w:rPr>
        <w:t>causa di fatto</w:t>
      </w:r>
      <w:r w:rsidRPr="00501C2D">
        <w:rPr>
          <w:szCs w:val="24"/>
          <w:lang w:val="it-IT"/>
        </w:rPr>
        <w:t xml:space="preserve"> di un’incapacità in senso giuridico, </w:t>
      </w:r>
      <w:r w:rsidR="00C63400">
        <w:rPr>
          <w:szCs w:val="24"/>
          <w:lang w:val="it-IT"/>
        </w:rPr>
        <w:t>sia stata</w:t>
      </w:r>
      <w:r w:rsidR="00C63400" w:rsidRPr="00501C2D">
        <w:rPr>
          <w:szCs w:val="24"/>
          <w:lang w:val="it-IT"/>
        </w:rPr>
        <w:t xml:space="preserve"> </w:t>
      </w:r>
      <w:r w:rsidRPr="00501C2D">
        <w:rPr>
          <w:szCs w:val="24"/>
          <w:lang w:val="it-IT"/>
        </w:rPr>
        <w:t xml:space="preserve">tale da togliere la necessaria discrezione di giudizio o </w:t>
      </w:r>
      <w:r w:rsidR="00C63400">
        <w:rPr>
          <w:szCs w:val="24"/>
          <w:lang w:val="it-IT"/>
        </w:rPr>
        <w:t>abbia reso</w:t>
      </w:r>
      <w:r w:rsidR="00C63400" w:rsidRPr="00501C2D">
        <w:rPr>
          <w:szCs w:val="24"/>
          <w:lang w:val="it-IT"/>
        </w:rPr>
        <w:t xml:space="preserve"> </w:t>
      </w:r>
      <w:r w:rsidRPr="00501C2D">
        <w:rPr>
          <w:szCs w:val="24"/>
          <w:lang w:val="it-IT"/>
        </w:rPr>
        <w:t>impossibile, nel momento del consenso, l’assunzione degli obblighi essenziali del matrimonio. Non si può identificare automaticamente l’immaturità con uno stato di mancanza dello sviluppo armonico dei diversi livelli della persona, perché ciò porterebbe a confondere la maturità come minimo ma necessario possesso di sé e della propria condizione maschile e femminile per poter donarsi coniugalmente — che è la maturità canonica —, con un perfetto auto-dominio, il quale corrisponde ad alcune nozioni psichiatriche di maturità che sono incompatibili con una concezione realistica della persona umana</w:t>
      </w:r>
      <w:r w:rsidRPr="00501C2D">
        <w:rPr>
          <w:rStyle w:val="Rimandonotaapidipagina"/>
          <w:szCs w:val="24"/>
          <w:lang w:val="it-IT"/>
        </w:rPr>
        <w:footnoteReference w:id="10"/>
      </w:r>
      <w:r w:rsidRPr="00501C2D">
        <w:rPr>
          <w:szCs w:val="24"/>
          <w:lang w:val="it-IT"/>
        </w:rPr>
        <w:t>.</w:t>
      </w:r>
    </w:p>
    <w:p w14:paraId="15969760" w14:textId="77777777" w:rsidR="00743B11" w:rsidRPr="00501C2D" w:rsidRDefault="00743B11" w:rsidP="00743B11">
      <w:pPr>
        <w:pStyle w:val="n"/>
        <w:widowControl/>
        <w:rPr>
          <w:szCs w:val="24"/>
          <w:lang w:val="it-IT"/>
        </w:rPr>
      </w:pPr>
      <w:r w:rsidRPr="00501C2D">
        <w:rPr>
          <w:szCs w:val="24"/>
          <w:lang w:val="it-IT"/>
        </w:rPr>
        <w:t xml:space="preserve">Si potrebbe accettare che, prima della promulgazione del Codice del 1983, si utilizzasse la categoria della ‘immaturità affettiva’, quando non c’era nella legislazione allora in vigore una sistematica e chiara trattazione della nullità del matrimonio per incapacità psichica </w:t>
      </w:r>
      <w:r w:rsidR="00D55A06">
        <w:rPr>
          <w:szCs w:val="24"/>
          <w:lang w:val="it-IT"/>
        </w:rPr>
        <w:t>a prestare</w:t>
      </w:r>
      <w:r w:rsidRPr="00501C2D">
        <w:rPr>
          <w:szCs w:val="24"/>
          <w:lang w:val="it-IT"/>
        </w:rPr>
        <w:t xml:space="preserve"> il consenso. Ma l’utilizzo di questa categoria come concetto giuridico o come capo di nullità autonomo, alla luce della legislazione vigente e della giurisprudenza praticamente costante della Rota Romana, non tiene conto della distinzione tra le possibili </w:t>
      </w:r>
      <w:r w:rsidRPr="00501C2D">
        <w:rPr>
          <w:i/>
          <w:szCs w:val="24"/>
          <w:lang w:val="it-IT"/>
        </w:rPr>
        <w:t>cause di fatto</w:t>
      </w:r>
      <w:r w:rsidRPr="00501C2D">
        <w:rPr>
          <w:szCs w:val="24"/>
          <w:lang w:val="it-IT"/>
        </w:rPr>
        <w:t xml:space="preserve"> dell’incapacità e quest’ultima come nozione giuridica, che si concretizzerà in uno dei tre criteri di misura della capacità psichica per il consenso </w:t>
      </w:r>
      <w:r w:rsidR="00D55A06">
        <w:rPr>
          <w:szCs w:val="24"/>
          <w:lang w:val="it-IT"/>
        </w:rPr>
        <w:t>contenuti</w:t>
      </w:r>
      <w:r w:rsidRPr="00501C2D">
        <w:rPr>
          <w:szCs w:val="24"/>
          <w:lang w:val="it-IT"/>
        </w:rPr>
        <w:t xml:space="preserve"> nei tre numeri del can. 1095. Cioè, l’immaturità come ‘fatto’ psicologico o psichiatrico sarà rilevante soltanto qualora si traduca — nel momento </w:t>
      </w:r>
      <w:r w:rsidRPr="00501C2D">
        <w:rPr>
          <w:szCs w:val="24"/>
          <w:lang w:val="it-IT"/>
        </w:rPr>
        <w:lastRenderedPageBreak/>
        <w:t>della manifestazione del consenso — in una mancanza del sufficiente uso di ragione, in un difetto grave della discrezione di giudizio o in un’incapacità di assumere, che sono i tre criteri di misura dell’incapacità psichica di cui al canone 1095.</w:t>
      </w:r>
    </w:p>
    <w:p w14:paraId="4D3A09C7" w14:textId="77777777" w:rsidR="00743B11" w:rsidRPr="00501C2D" w:rsidRDefault="00743B11" w:rsidP="00743B11">
      <w:pPr>
        <w:pStyle w:val="n"/>
        <w:widowControl/>
        <w:rPr>
          <w:szCs w:val="24"/>
          <w:lang w:val="it-IT"/>
        </w:rPr>
      </w:pPr>
      <w:r w:rsidRPr="00501C2D">
        <w:rPr>
          <w:szCs w:val="24"/>
          <w:lang w:val="it-IT"/>
        </w:rPr>
        <w:t>Perciò, non è solo l’imprecisione e l’ambiguità della nozione di ‘immaturità affettiva’, bensì soprattutto la necessità di essere precisi nell’applicazione della nozione giuridica di incapacità, quella che ha portato la giurisprudenza rotale a valutare se la presenza di uno stato di immaturità, in qualunque modo la si voglia chiamare, abbia causato, qui ed ora, nel momento del consenso, un’incapacità psichica nel soggetto, sia per la mancanza del sufficiente uso di ragione, sia per il difetto grave della discrezione di giudizio, sia per l’incapacità di assumere gli obblighi essenziali del matrimonio</w:t>
      </w:r>
      <w:r w:rsidRPr="009D4A0C">
        <w:rPr>
          <w:rStyle w:val="Caratteredellanota"/>
          <w:vertAlign w:val="superscript"/>
          <w:lang w:val="it-IT"/>
        </w:rPr>
        <w:footnoteReference w:id="11"/>
      </w:r>
      <w:r w:rsidRPr="00501C2D">
        <w:rPr>
          <w:szCs w:val="24"/>
          <w:lang w:val="it-IT"/>
        </w:rPr>
        <w:t xml:space="preserve">. Ciò significa che, malgrado molte volte </w:t>
      </w:r>
      <w:r w:rsidR="00D55A06">
        <w:rPr>
          <w:szCs w:val="24"/>
          <w:lang w:val="it-IT"/>
        </w:rPr>
        <w:t xml:space="preserve">si </w:t>
      </w:r>
      <w:r w:rsidRPr="00501C2D">
        <w:rPr>
          <w:szCs w:val="24"/>
          <w:lang w:val="it-IT"/>
        </w:rPr>
        <w:t xml:space="preserve">sia invocata la ‘immaturità affettiva’ come capo di nullità — come fattispecie giuridica autonoma di incapacità consensuale —, in realtà tale immaturità deve essere presa in considerazione, nel caso concreto, tenendo presente la biografia del presunto incapace, come originante il difetto dell’uso di ragione, </w:t>
      </w:r>
      <w:r w:rsidR="00F342C6">
        <w:rPr>
          <w:szCs w:val="24"/>
          <w:lang w:val="it-IT"/>
        </w:rPr>
        <w:t>i</w:t>
      </w:r>
      <w:r w:rsidRPr="00501C2D">
        <w:rPr>
          <w:szCs w:val="24"/>
          <w:lang w:val="it-IT"/>
        </w:rPr>
        <w:t>l difetto grave di discrezione di giudizio o dell’incapacità di assumere.</w:t>
      </w:r>
    </w:p>
    <w:p w14:paraId="4695F135" w14:textId="77777777" w:rsidR="00743B11" w:rsidRPr="00501C2D" w:rsidRDefault="00743B11" w:rsidP="00743B11">
      <w:pPr>
        <w:pStyle w:val="n"/>
        <w:widowControl/>
        <w:rPr>
          <w:szCs w:val="24"/>
          <w:lang w:val="it-IT"/>
        </w:rPr>
      </w:pPr>
      <w:r w:rsidRPr="00501C2D">
        <w:rPr>
          <w:szCs w:val="24"/>
          <w:lang w:val="it-IT"/>
        </w:rPr>
        <w:t>Come sostiene Bianchi, «i criteri per determinare in quali eccezionali occasioni una forma di immaturità procuri incapacità matrimoniale non sono diversi — né lo potrebbero essere — da quelli che debbono verificarsi per ogni altra forma di incapacità psichica al matrimonio. A comprova deve riportarsi non solo la bassa percentuale di decisioni rotali che hanno riconosciuto stati di “immaturità” come causa di un’incapacità al matrimonio, ma anche il fatto che, in tali eccezionali decisioni, non raramente la generica diagnosi di “immaturità” appare precisarsi, in corso di causa, in categorie diagnostiche più specifiche, soprattutto nell’ambito dei cosiddetti disordini della personalità o di gravi nevrosi attinenti l’oggetto del consenso: a comprova, appunto, del fatto che la “gravità” da verificarsi è correlata all’accertamento di una franca anomalia sostanzialmente lesiva della facoltà naturali del soggetto»</w:t>
      </w:r>
      <w:r w:rsidRPr="009D4A0C">
        <w:rPr>
          <w:rStyle w:val="Caratteredellanota"/>
          <w:vertAlign w:val="superscript"/>
          <w:lang w:val="it-IT"/>
        </w:rPr>
        <w:footnoteReference w:id="12"/>
      </w:r>
      <w:r w:rsidRPr="00501C2D">
        <w:rPr>
          <w:szCs w:val="24"/>
          <w:lang w:val="it-IT"/>
        </w:rPr>
        <w:t>.</w:t>
      </w:r>
    </w:p>
    <w:p w14:paraId="015356E6" w14:textId="1B8CA407" w:rsidR="00743B11" w:rsidRPr="00501C2D" w:rsidRDefault="00743B11" w:rsidP="00743B11">
      <w:pPr>
        <w:pStyle w:val="n"/>
        <w:widowControl/>
        <w:rPr>
          <w:szCs w:val="24"/>
          <w:lang w:val="it-IT"/>
        </w:rPr>
      </w:pPr>
      <w:r w:rsidRPr="00501C2D">
        <w:rPr>
          <w:szCs w:val="24"/>
          <w:lang w:val="it-IT"/>
        </w:rPr>
        <w:t xml:space="preserve">Un dato interessante, per quanto riguarda la giurisprudenza rotale: è sempre più frequente che nelle cause nelle quali si parla di immaturità, i giudici rotali non si siano accontentati </w:t>
      </w:r>
      <w:r w:rsidR="00FB2A02">
        <w:rPr>
          <w:szCs w:val="24"/>
          <w:lang w:val="it-IT"/>
        </w:rPr>
        <w:t>del</w:t>
      </w:r>
      <w:r w:rsidRPr="00501C2D">
        <w:rPr>
          <w:szCs w:val="24"/>
          <w:lang w:val="it-IT"/>
        </w:rPr>
        <w:t xml:space="preserve">la semplice verifica di uno stato di immaturità, persino notorio, mediante la realizzazione di una perizia, ma abbiano </w:t>
      </w:r>
      <w:r w:rsidR="00A109FA">
        <w:rPr>
          <w:szCs w:val="24"/>
          <w:lang w:val="it-IT"/>
        </w:rPr>
        <w:t>richiesto</w:t>
      </w:r>
      <w:r w:rsidRPr="00501C2D">
        <w:rPr>
          <w:szCs w:val="24"/>
          <w:lang w:val="it-IT"/>
        </w:rPr>
        <w:t xml:space="preserve"> </w:t>
      </w:r>
      <w:r w:rsidR="00FB2A02">
        <w:rPr>
          <w:szCs w:val="24"/>
          <w:lang w:val="it-IT"/>
        </w:rPr>
        <w:t>la</w:t>
      </w:r>
      <w:r w:rsidRPr="00501C2D">
        <w:rPr>
          <w:szCs w:val="24"/>
          <w:lang w:val="it-IT"/>
        </w:rPr>
        <w:t xml:space="preserve"> dimostra</w:t>
      </w:r>
      <w:r w:rsidR="00FB2A02">
        <w:rPr>
          <w:szCs w:val="24"/>
          <w:lang w:val="it-IT"/>
        </w:rPr>
        <w:t>zione</w:t>
      </w:r>
      <w:r w:rsidRPr="00501C2D">
        <w:rPr>
          <w:szCs w:val="24"/>
          <w:lang w:val="it-IT"/>
        </w:rPr>
        <w:t xml:space="preserve">, nel caso concreto, </w:t>
      </w:r>
      <w:r w:rsidR="00FB2A02">
        <w:rPr>
          <w:szCs w:val="24"/>
          <w:lang w:val="it-IT"/>
        </w:rPr>
        <w:t xml:space="preserve">di </w:t>
      </w:r>
      <w:r w:rsidRPr="00501C2D">
        <w:rPr>
          <w:szCs w:val="24"/>
          <w:lang w:val="it-IT"/>
        </w:rPr>
        <w:t>quale fu la causa psichica che originò quella immaturità, la quale era fino a tal punto presente nella persona che impediva la necessaria discrezione di giudizio o rendeva la persona incapace di assumere gli obblighi essenziali del matrimonio nel momento della manifestazione del consenso. Questa causa psichica, in molti casi, è identificata nella presenza di uno dei cosiddetti ‘disturbi di personalità’. Gullo, in una presentazione che fa della giurisprudenza rotale sull’immaturità</w:t>
      </w:r>
      <w:r w:rsidRPr="009D4A0C">
        <w:rPr>
          <w:rStyle w:val="Caratteredellanota"/>
          <w:vertAlign w:val="superscript"/>
          <w:lang w:val="it-IT"/>
        </w:rPr>
        <w:footnoteReference w:id="13"/>
      </w:r>
      <w:r w:rsidRPr="00501C2D">
        <w:rPr>
          <w:szCs w:val="24"/>
          <w:lang w:val="it-IT"/>
        </w:rPr>
        <w:t xml:space="preserve">, afferma che praticamente in tutte le cause sull’immaturità i giudici non si fermano alla determinazione se esisteva o meno uno stato di immaturità in uno o in entrambi i contraenti, né tanto meno al solo fatto dell’età che avevano i contraenti al momento della celebrazione del matrimonio, ma tentano di determinare la gravità dell’immaturità, messa in relazione con patologie o anomalie concrete che impedivano il dono di sé </w:t>
      </w:r>
      <w:r w:rsidRPr="00501C2D">
        <w:rPr>
          <w:szCs w:val="24"/>
          <w:lang w:val="it-IT"/>
        </w:rPr>
        <w:lastRenderedPageBreak/>
        <w:t>coniugale in alcuno dei suoi elementi essenziali. Inoltre, a partire dal Codice del 1983, le cause rimandano chiaramente l’immaturità al difetto grave della discrezione di giudizio (nella maggioranza dei casi) o all’incapacità di assumere gli obblighi essenziali per una causa psichica.</w:t>
      </w:r>
    </w:p>
    <w:p w14:paraId="75396475" w14:textId="77777777" w:rsidR="00743B11" w:rsidRPr="00501C2D" w:rsidRDefault="00743B11" w:rsidP="00743B11">
      <w:pPr>
        <w:pStyle w:val="n"/>
        <w:widowControl/>
        <w:rPr>
          <w:i/>
          <w:szCs w:val="24"/>
          <w:lang w:val="it-IT"/>
        </w:rPr>
      </w:pPr>
      <w:r w:rsidRPr="00501C2D">
        <w:rPr>
          <w:szCs w:val="24"/>
          <w:lang w:val="it-IT"/>
        </w:rPr>
        <w:t>2.2.</w:t>
      </w:r>
      <w:r w:rsidRPr="00501C2D">
        <w:rPr>
          <w:i/>
          <w:szCs w:val="24"/>
          <w:lang w:val="it-IT"/>
        </w:rPr>
        <w:t xml:space="preserve"> La qualifica giuridica del cosiddetto “difetto di libertà interna”</w:t>
      </w:r>
    </w:p>
    <w:p w14:paraId="35CFD178" w14:textId="77777777" w:rsidR="00743B11" w:rsidRPr="00501C2D" w:rsidRDefault="00743B11" w:rsidP="00743B11">
      <w:pPr>
        <w:widowControl/>
        <w:rPr>
          <w:szCs w:val="24"/>
        </w:rPr>
      </w:pPr>
      <w:r w:rsidRPr="00501C2D">
        <w:rPr>
          <w:szCs w:val="24"/>
        </w:rPr>
        <w:t xml:space="preserve">Tenuto conto che ci sarà una relazione che tratterà specificamente di questo argomento, </w:t>
      </w:r>
      <w:r w:rsidR="000B77B8">
        <w:rPr>
          <w:szCs w:val="24"/>
        </w:rPr>
        <w:t>vi</w:t>
      </w:r>
      <w:r w:rsidR="000B77B8" w:rsidRPr="00501C2D">
        <w:rPr>
          <w:szCs w:val="24"/>
        </w:rPr>
        <w:t xml:space="preserve"> </w:t>
      </w:r>
      <w:r w:rsidRPr="00501C2D">
        <w:rPr>
          <w:szCs w:val="24"/>
        </w:rPr>
        <w:t xml:space="preserve">farò solo qualche </w:t>
      </w:r>
      <w:r w:rsidR="000B77B8">
        <w:rPr>
          <w:szCs w:val="24"/>
        </w:rPr>
        <w:t xml:space="preserve">breve </w:t>
      </w:r>
      <w:r w:rsidRPr="00501C2D">
        <w:rPr>
          <w:szCs w:val="24"/>
        </w:rPr>
        <w:t xml:space="preserve">cenno. Frequentemente, i tribunali locali stabiliscono come capo di nullità autonomo il “difetto di libertà interna”. La Rota Romana, invece, non utilizza questa fattispecie come capo autonomo di nullità, inquadrandolo molto spesso nel difetto grave della discrezione di giudizio. Se ci chiediamo il perché di questo inquadramento, vediamo che risponde alla struttura del canone, sempre che si capisca adeguatamente la discrezione di giudizio in tutti i suoi elementi, tenuto conto che alcuni autori la intendono in modo eccessivamente ‘intellettualistico’, nel quale la volontà avrebbe poco da apportare. D’altra parte, il fatto che non si raccolga nel Codice l’ipotesi della cosiddetta ‘mancanza o difetto di libertà interna’ per contrarre — mancanza di libera volontà —, ci porta a concludere che questa ipotesi rientra nel numerale secondo del can. 1095, accogliendo implicitamente il principio tradizionale </w:t>
      </w:r>
      <w:r w:rsidRPr="00501C2D">
        <w:rPr>
          <w:i/>
          <w:szCs w:val="24"/>
        </w:rPr>
        <w:t>ubi intellectus, ibi voluntas</w:t>
      </w:r>
      <w:r w:rsidRPr="009D4A0C">
        <w:rPr>
          <w:rStyle w:val="Caratteredellanota"/>
          <w:vertAlign w:val="superscript"/>
        </w:rPr>
        <w:footnoteReference w:id="14"/>
      </w:r>
      <w:r w:rsidRPr="00501C2D">
        <w:rPr>
          <w:szCs w:val="24"/>
        </w:rPr>
        <w:t>.</w:t>
      </w:r>
    </w:p>
    <w:p w14:paraId="00A3BC71" w14:textId="17B738B7" w:rsidR="00743B11" w:rsidRPr="00501C2D" w:rsidRDefault="00743B11" w:rsidP="00743B11">
      <w:pPr>
        <w:widowControl/>
        <w:rPr>
          <w:szCs w:val="24"/>
        </w:rPr>
      </w:pPr>
      <w:r w:rsidRPr="00501C2D">
        <w:rPr>
          <w:szCs w:val="24"/>
        </w:rPr>
        <w:t xml:space="preserve">La discrezione di giudizio non riguarda soltanto l’adeguata comprensione e valutazione della realtà matrimoniale e di ciò che essa implica, ma anche la necessaria libertà psicologica di scelta della persona dell’altro e del vincolo come unione personale nella coniugalità. Dato che la libertà non è soltanto un presupposto generale dell’atto umano, ma è anche una condizione dell’agire veramente personale, ritengo che la mancanza di libertà interna, intesa come assenza </w:t>
      </w:r>
      <w:r w:rsidR="00A109FA">
        <w:rPr>
          <w:szCs w:val="24"/>
        </w:rPr>
        <w:t>della</w:t>
      </w:r>
      <w:r w:rsidRPr="00501C2D">
        <w:rPr>
          <w:szCs w:val="24"/>
        </w:rPr>
        <w:t xml:space="preserve"> </w:t>
      </w:r>
      <w:r w:rsidR="00A109FA">
        <w:rPr>
          <w:szCs w:val="24"/>
        </w:rPr>
        <w:t>padronanza minima necessaria</w:t>
      </w:r>
      <w:r w:rsidRPr="00501C2D">
        <w:rPr>
          <w:szCs w:val="24"/>
        </w:rPr>
        <w:t xml:space="preserve"> per valutare sufficientemente l’unione che si crea, sia uno degli elementi della nozione di discrezione di giudizio e, pertanto, non la si debba intendere come un capo autonomo di incapacità psichica, diverso da que</w:t>
      </w:r>
      <w:r w:rsidR="00F342C6">
        <w:rPr>
          <w:szCs w:val="24"/>
        </w:rPr>
        <w:t>l</w:t>
      </w:r>
      <w:r w:rsidRPr="00501C2D">
        <w:rPr>
          <w:szCs w:val="24"/>
        </w:rPr>
        <w:t>li stabiliti dal legislatore.</w:t>
      </w:r>
    </w:p>
    <w:p w14:paraId="2480F858" w14:textId="77777777" w:rsidR="00743B11" w:rsidRPr="00501C2D" w:rsidRDefault="00743B11" w:rsidP="00743B11">
      <w:pPr>
        <w:widowControl/>
        <w:rPr>
          <w:szCs w:val="24"/>
        </w:rPr>
      </w:pPr>
      <w:r w:rsidRPr="00501C2D">
        <w:rPr>
          <w:szCs w:val="24"/>
        </w:rPr>
        <w:t xml:space="preserve">Ciononostante, in alcuni tribunali locali — particolarmente in Spagna e in America Latina — si verifica il problema di una quasi automatica applicazione della mancanza di libertà interna ai casi di gravidanze inattese prima del matrimonio. Se analizziamo la giurisprudenza della Rota Romana su questo tipo di casi, ci si accorge che i giudici della Rota Romana, molti di questi casi, li hanno qualificati sotto la fattispecie di </w:t>
      </w:r>
      <w:r w:rsidRPr="00501C2D">
        <w:rPr>
          <w:i/>
          <w:szCs w:val="24"/>
        </w:rPr>
        <w:t>vis et metus</w:t>
      </w:r>
      <w:r w:rsidRPr="00501C2D">
        <w:rPr>
          <w:szCs w:val="24"/>
        </w:rPr>
        <w:t xml:space="preserve"> di cui al can. 1103. Certamente, ciò non significa che automaticamente questo tipo di casi debbano essere trattati secondo questo capo di nullità ma, almeno, è ragionevole che la prima approssimazione si faccia alla </w:t>
      </w:r>
      <w:r w:rsidRPr="00501C2D">
        <w:rPr>
          <w:i/>
          <w:szCs w:val="24"/>
        </w:rPr>
        <w:t>vis et metus</w:t>
      </w:r>
      <w:r w:rsidRPr="00501C2D">
        <w:rPr>
          <w:szCs w:val="24"/>
        </w:rPr>
        <w:t>, e non al summenzionato capo di ‘mancanza di libertà interna’, come invece fanno molti tribunali.</w:t>
      </w:r>
    </w:p>
    <w:p w14:paraId="02C411C7" w14:textId="06D8B7C6" w:rsidR="00743B11" w:rsidRPr="00501C2D" w:rsidRDefault="00743B11" w:rsidP="00743B11">
      <w:pPr>
        <w:widowControl/>
        <w:rPr>
          <w:szCs w:val="24"/>
        </w:rPr>
      </w:pPr>
      <w:r w:rsidRPr="00501C2D">
        <w:rPr>
          <w:szCs w:val="24"/>
        </w:rPr>
        <w:t xml:space="preserve">Uno dei motivi che hanno portato a questa autonomia della mancanza di libertà interna come capo di nullità del matrimonio è, come ho detto poc’anzi, che parte della dottrina in lingua spagnola ha sviluppato una teoria secondo la quale la discrezione di giudizio sarebbe una capacità meramente intellettuale, motivo per </w:t>
      </w:r>
      <w:r w:rsidR="0097261D">
        <w:rPr>
          <w:szCs w:val="24"/>
        </w:rPr>
        <w:t>cui</w:t>
      </w:r>
      <w:r w:rsidRPr="00501C2D">
        <w:rPr>
          <w:szCs w:val="24"/>
        </w:rPr>
        <w:t xml:space="preserve"> alcuni casi in cui è chiara la capacità intellettuale della persona per conoscere teoricamente che cosa è il </w:t>
      </w:r>
      <w:r w:rsidRPr="00501C2D">
        <w:rPr>
          <w:szCs w:val="24"/>
        </w:rPr>
        <w:lastRenderedPageBreak/>
        <w:t>matrimonio e, allo stesso tempo, si riscontra l’incapacità di prendere liberamente una decisione, non sarebbero facilmente inquadrabili nel difetto grave della discrezione di giudizio. Tra gli altri, è di questa opinione García Faílde in un suo scritto sulla libertà psicologica e il matrimonio</w:t>
      </w:r>
      <w:r w:rsidRPr="009D4A0C">
        <w:rPr>
          <w:rStyle w:val="Caratteredellanota"/>
          <w:vertAlign w:val="superscript"/>
        </w:rPr>
        <w:footnoteReference w:id="15"/>
      </w:r>
      <w:r w:rsidRPr="00501C2D">
        <w:rPr>
          <w:szCs w:val="24"/>
        </w:rPr>
        <w:t xml:space="preserve">. In uno scritto precedente, lo stesso autore affermava: </w:t>
      </w:r>
      <w:r w:rsidRPr="00A109FA">
        <w:rPr>
          <w:szCs w:val="24"/>
          <w:lang w:val="es-ES_tradnl"/>
        </w:rPr>
        <w:t>«Pueden darse, sin embargo, “motivaciones” que, en lugar de ser “condición sine qua non” para que la decisión de casarse sea acto de elección, constituyen condicionamientos que</w:t>
      </w:r>
      <w:r w:rsidR="00A109FA" w:rsidRPr="00A109FA">
        <w:rPr>
          <w:szCs w:val="24"/>
          <w:lang w:val="es-ES_tradnl"/>
        </w:rPr>
        <w:t xml:space="preserve"> de uno u otro modo “limitan” y</w:t>
      </w:r>
      <w:r w:rsidRPr="00A109FA">
        <w:rPr>
          <w:szCs w:val="24"/>
          <w:lang w:val="es-ES_tradnl"/>
        </w:rPr>
        <w:t xml:space="preserve"> en ocasiones, hasta un grado tal que hace que esa decisión no sea suficientemente libre; esta situación puede darse cuando las “motivaciones” consisten en impulsos internos, sean o no sean “patológicos” […]. Al decir que puede tratarse de motivaciones “no patológicas” ya estamos implícitamente diciendo que estas situaciones pueden darse también en personas psíquicamente normales al menos de una manera transitoria, como puede ocurrir en los casos de emociones fortísimas, de angustia o ansiedad enorme, de dudas o de vacilaciones o de fluctuaciones o de indecisiones, etc., sobre si casarse o dejar de casarse, etc</w:t>
      </w:r>
      <w:r w:rsidRPr="00501C2D">
        <w:rPr>
          <w:szCs w:val="24"/>
        </w:rPr>
        <w:t>.»</w:t>
      </w:r>
      <w:r w:rsidRPr="009D4A0C">
        <w:rPr>
          <w:rStyle w:val="Caratteredellanota"/>
          <w:vertAlign w:val="superscript"/>
        </w:rPr>
        <w:footnoteReference w:id="16"/>
      </w:r>
      <w:r w:rsidRPr="00501C2D">
        <w:rPr>
          <w:szCs w:val="24"/>
        </w:rPr>
        <w:t>.</w:t>
      </w:r>
    </w:p>
    <w:p w14:paraId="36EABB0D" w14:textId="3F41C3A2" w:rsidR="00743B11" w:rsidRPr="00501C2D" w:rsidRDefault="00743B11" w:rsidP="00743B11">
      <w:pPr>
        <w:widowControl/>
        <w:rPr>
          <w:szCs w:val="24"/>
        </w:rPr>
      </w:pPr>
      <w:r w:rsidRPr="00501C2D">
        <w:rPr>
          <w:szCs w:val="24"/>
        </w:rPr>
        <w:t>Per contro, Viladrich spiega in modo molto chiaro quello che, ritengo, sia il vero significato della mancanza di libertà interna, parlando dei motiv</w:t>
      </w:r>
      <w:r w:rsidR="00BF0A1B">
        <w:rPr>
          <w:szCs w:val="24"/>
        </w:rPr>
        <w:t>i</w:t>
      </w:r>
      <w:r w:rsidRPr="00501C2D">
        <w:rPr>
          <w:szCs w:val="24"/>
        </w:rPr>
        <w:t xml:space="preserve"> che possono portare ad una vera incapacità di assumere, benché </w:t>
      </w:r>
      <w:r w:rsidR="00BF0A1B">
        <w:rPr>
          <w:szCs w:val="24"/>
        </w:rPr>
        <w:t>ritengo</w:t>
      </w:r>
      <w:r w:rsidR="00BF0A1B" w:rsidRPr="00501C2D">
        <w:rPr>
          <w:szCs w:val="24"/>
        </w:rPr>
        <w:t xml:space="preserve"> </w:t>
      </w:r>
      <w:r w:rsidRPr="00501C2D">
        <w:rPr>
          <w:szCs w:val="24"/>
        </w:rPr>
        <w:t>che sia la sua una spiegazione che si applica pienamente anche alle cause di difetto grave della discrezione di giudizio: «Fra le circostanze che possono essere habitat di un aggravamento reattivo che finisca col provocare in uno o entrambi i contraenti una impossibilità di assumere, ha una particolare importanza la fragilità nel perdere la sufficiente libertà interna e l’immaturità affettiva ed emotiva (…). Nessuno di questi dati di fatto è in se stesso causa di nullità, come appare ovvio se torniamo ai tre numerali del can. 1095 e all’essenziale differenza fra la natura di fatto della causa psichica e la natura giuridica della capacità e del suo difetto. Ciò nonostante, la fragilità nel possesso della libertà inte</w:t>
      </w:r>
      <w:r w:rsidR="002D592F">
        <w:rPr>
          <w:szCs w:val="24"/>
        </w:rPr>
        <w:t>rna, l’immaturità affettiva (…),</w:t>
      </w:r>
      <w:r w:rsidRPr="00501C2D">
        <w:rPr>
          <w:szCs w:val="24"/>
        </w:rPr>
        <w:t xml:space="preserve"> possono essere, come l’esperienza pratica dimostra, cause psichiche in grado di privare un soggetto in particolare della sua capacità giuridica (…). La privazione della libertà necessaria a compiere atti specifici, operando con una dose di alienazione sufficiente a non stimare l’azione come libera e volontaria, può essere causata dalla minaccia di un terzo, secondo i requisiti del capo del metus del can. 1103, ma può accadere che, senza che concorrano i requisiti richiesti dal can. 1103, in particolare la presenza di un soggetto esterno che minaccia, un soggetto abbia in sé un turbamento tale dell’animo da non poter compiere tutta la sequenza motiva, deliberativa, elettiva ed esecutiva del consenso se non nei termini di tale alienazione interna, al punto da non consentirci di riconoscere tale atto come proprio del soggetto, ossia come risultato del suo libero arbitrio»</w:t>
      </w:r>
      <w:r w:rsidRPr="009D4A0C">
        <w:rPr>
          <w:rStyle w:val="Caratteredellanota"/>
          <w:vertAlign w:val="superscript"/>
        </w:rPr>
        <w:footnoteReference w:id="17"/>
      </w:r>
      <w:r w:rsidRPr="00501C2D">
        <w:rPr>
          <w:szCs w:val="24"/>
        </w:rPr>
        <w:t>.</w:t>
      </w:r>
    </w:p>
    <w:p w14:paraId="6616A2F3" w14:textId="77777777" w:rsidR="00743B11" w:rsidRPr="00501C2D" w:rsidRDefault="00743B11" w:rsidP="00743B11">
      <w:pPr>
        <w:widowControl/>
        <w:rPr>
          <w:szCs w:val="24"/>
        </w:rPr>
      </w:pPr>
      <w:r w:rsidRPr="00501C2D">
        <w:rPr>
          <w:szCs w:val="24"/>
        </w:rPr>
        <w:t xml:space="preserve">In conclusione, considero che un’adeguata comprensione del significato della discrezione di giudizio, alla quale farò riferimento successivamente, ci permetterà di qualificare giuridicamente i casi concreti in uno dei numeri del can. 1095, quando esiste </w:t>
      </w:r>
      <w:r w:rsidRPr="00501C2D">
        <w:rPr>
          <w:szCs w:val="24"/>
        </w:rPr>
        <w:lastRenderedPageBreak/>
        <w:t>un’anomalia psichica che toglie la libertà minima, o nel can. 1103, quando la causa della perdita della libertà è chiaramente estrinseca e ci sono i requisiti stabiliti da questo canone.</w:t>
      </w:r>
    </w:p>
    <w:p w14:paraId="0D762670" w14:textId="77777777" w:rsidR="00743B11" w:rsidRPr="00501C2D" w:rsidRDefault="00743B11" w:rsidP="00743B11">
      <w:pPr>
        <w:pStyle w:val="n"/>
        <w:widowControl/>
        <w:rPr>
          <w:i/>
          <w:szCs w:val="24"/>
          <w:lang w:val="it-IT"/>
        </w:rPr>
      </w:pPr>
      <w:r w:rsidRPr="00501C2D">
        <w:rPr>
          <w:szCs w:val="24"/>
          <w:lang w:val="it-IT"/>
        </w:rPr>
        <w:t>2.3.</w:t>
      </w:r>
      <w:r w:rsidRPr="00501C2D">
        <w:rPr>
          <w:i/>
          <w:szCs w:val="24"/>
          <w:lang w:val="it-IT"/>
        </w:rPr>
        <w:t xml:space="preserve"> L‘incapacità relativa</w:t>
      </w:r>
    </w:p>
    <w:p w14:paraId="08AD4838" w14:textId="77777777" w:rsidR="00743B11" w:rsidRPr="00501C2D" w:rsidRDefault="00743B11" w:rsidP="00743B11">
      <w:pPr>
        <w:pStyle w:val="n"/>
        <w:widowControl/>
        <w:rPr>
          <w:szCs w:val="24"/>
          <w:lang w:val="it-IT"/>
        </w:rPr>
      </w:pPr>
      <w:r w:rsidRPr="00501C2D">
        <w:rPr>
          <w:szCs w:val="24"/>
          <w:lang w:val="it-IT"/>
        </w:rPr>
        <w:t xml:space="preserve">Un’altra delle </w:t>
      </w:r>
      <w:r w:rsidRPr="00501C2D">
        <w:rPr>
          <w:i/>
          <w:szCs w:val="24"/>
          <w:lang w:val="it-IT"/>
        </w:rPr>
        <w:t>quaestiones disputatae</w:t>
      </w:r>
      <w:r w:rsidRPr="00501C2D">
        <w:rPr>
          <w:szCs w:val="24"/>
          <w:lang w:val="it-IT"/>
        </w:rPr>
        <w:t xml:space="preserve"> è l’ammissibilità o meno della cosiddetta ‘incapacità relativa’. Benché nella giurisprudenza della Rota Romana sia praticamente unanime il rifiuto della nozione stessa di incapacità relativa, è noto che la nozione è ammessa da parte della dottrina ed applicata spesso da alcuni tribunali locali. Ho sviluppato questo argomento in diverse occasioni</w:t>
      </w:r>
      <w:r w:rsidRPr="009D4A0C">
        <w:rPr>
          <w:rStyle w:val="Caratteredellanota"/>
          <w:vertAlign w:val="superscript"/>
          <w:lang w:val="it-IT"/>
        </w:rPr>
        <w:footnoteReference w:id="18"/>
      </w:r>
      <w:r w:rsidRPr="00501C2D">
        <w:rPr>
          <w:szCs w:val="24"/>
          <w:lang w:val="it-IT"/>
        </w:rPr>
        <w:t>, per cui ora mi limiterò a fare una menzione alla giurisprudenza rotale e alla dottrina, per trarre alcune conclusioni.</w:t>
      </w:r>
    </w:p>
    <w:p w14:paraId="7AB8424A" w14:textId="77777777" w:rsidR="00743B11" w:rsidRPr="00501C2D" w:rsidRDefault="00743B11" w:rsidP="00743B11">
      <w:pPr>
        <w:widowControl/>
        <w:rPr>
          <w:szCs w:val="24"/>
        </w:rPr>
      </w:pPr>
      <w:r w:rsidRPr="00501C2D">
        <w:rPr>
          <w:szCs w:val="24"/>
        </w:rPr>
        <w:t>Vi è un indirizzo giurisprudenziale maggioritario — quasi unanime — che sottolinea che l’unica relatività che si può ammettere è quella riguardante i diritti e i doveri essenziali del matrimonio, vale a dire, che la capacità è relativa al matrimonio, alla sua essenza, alla possibilità di donare la propria mascolinità o femminilità nel matrimonio, non invece relativa alla persona concreta con la quale esso si contrae.</w:t>
      </w:r>
    </w:p>
    <w:p w14:paraId="09D408B2" w14:textId="77777777" w:rsidR="00743B11" w:rsidRPr="00501C2D" w:rsidRDefault="00743B11" w:rsidP="00743B11">
      <w:pPr>
        <w:widowControl/>
        <w:rPr>
          <w:szCs w:val="24"/>
        </w:rPr>
      </w:pPr>
      <w:r w:rsidRPr="00501C2D">
        <w:rPr>
          <w:szCs w:val="24"/>
        </w:rPr>
        <w:t>In una sentenza c. Di Felice si a</w:t>
      </w:r>
      <w:r w:rsidRPr="00501C2D">
        <w:t>fferma che il termine ‘incapacità relativa’ è equivoco. Se l’incapacità fosse relativa, il giudizio sull’incapacità verrebbe condizionato dall’esperienza della vita coniugale, il che sarebbe in contraddizione con il principio secondo il quale il matrimonio si fonda mediante il consenso, portandoci a confondere il momento fondazionale con la vita matrimoniale. Perciò, sostiene, la capacità è relativa all’oggetto del consenso, non alla persona con cui si contrae. Potremmo precisare che la relatività riguarda il soggetto solo se per soggetto si intende “la coniugalità del soggetto”, non le condizioni e le qualità che esulano dalla condizione coniugale nei suoi elementi essenziali, che vengono dati dalla stessa natura della coniugalità</w:t>
      </w:r>
      <w:r w:rsidRPr="009D4A0C">
        <w:rPr>
          <w:rStyle w:val="Caratteredellanota"/>
          <w:vertAlign w:val="superscript"/>
        </w:rPr>
        <w:footnoteReference w:id="19"/>
      </w:r>
      <w:r w:rsidRPr="00501C2D">
        <w:rPr>
          <w:szCs w:val="24"/>
        </w:rPr>
        <w:t xml:space="preserve">. Allo stesso tempo, una tale concezione dell’incapacità ci porterebbe ad un assurdo giuridico: la validità o la nullità del matrimonio resterebbe come sospesa, oscurandosi la chiara distinzione tra matrimonio </w:t>
      </w:r>
      <w:r w:rsidRPr="00501C2D">
        <w:rPr>
          <w:i/>
          <w:szCs w:val="24"/>
        </w:rPr>
        <w:t>in fieri</w:t>
      </w:r>
      <w:r w:rsidRPr="00501C2D">
        <w:rPr>
          <w:szCs w:val="24"/>
        </w:rPr>
        <w:t xml:space="preserve"> e matrimonio </w:t>
      </w:r>
      <w:r w:rsidRPr="00501C2D">
        <w:rPr>
          <w:i/>
          <w:szCs w:val="24"/>
        </w:rPr>
        <w:t>in facto esse</w:t>
      </w:r>
      <w:r w:rsidRPr="00501C2D">
        <w:rPr>
          <w:szCs w:val="24"/>
        </w:rPr>
        <w:t>, una delle più importanti acquisizioni della dottrina canonica sin dai primi secoli, dinanzi alla concezione romana del matrimonio come relazione di fatto che dipendeva dall’</w:t>
      </w:r>
      <w:r w:rsidRPr="00501C2D">
        <w:rPr>
          <w:i/>
          <w:szCs w:val="24"/>
        </w:rPr>
        <w:t>animus</w:t>
      </w:r>
      <w:r w:rsidRPr="00501C2D">
        <w:rPr>
          <w:szCs w:val="24"/>
        </w:rPr>
        <w:t xml:space="preserve"> </w:t>
      </w:r>
      <w:r w:rsidRPr="00501C2D">
        <w:rPr>
          <w:i/>
          <w:szCs w:val="24"/>
        </w:rPr>
        <w:t>maritalis</w:t>
      </w:r>
      <w:r w:rsidRPr="00501C2D">
        <w:rPr>
          <w:szCs w:val="24"/>
        </w:rPr>
        <w:t>.</w:t>
      </w:r>
    </w:p>
    <w:p w14:paraId="265E593A" w14:textId="77777777" w:rsidR="00743B11" w:rsidRPr="00501C2D" w:rsidRDefault="00743B11" w:rsidP="00743B11">
      <w:pPr>
        <w:widowControl/>
        <w:rPr>
          <w:szCs w:val="24"/>
        </w:rPr>
      </w:pPr>
      <w:r w:rsidRPr="00501C2D">
        <w:rPr>
          <w:szCs w:val="24"/>
        </w:rPr>
        <w:t xml:space="preserve">Non si può confondere l’incapacità di assumere con le difficoltà per portare avanti una relazione validamente instaurata, difficoltà causate dalle concrete personalità di ognuno dei contraenti. Ancora, si deve distinguere tra l’impossibilità di assumere e la difficoltà a compiere, la quale dipende più dall’adeguato uso delle proprie possibilità e dalla libertà delle persone, contrariamente a quanto capita con una causa di nullità del vincolo, che deve essere presente sempre </w:t>
      </w:r>
      <w:r w:rsidRPr="00501C2D">
        <w:rPr>
          <w:i/>
          <w:szCs w:val="24"/>
        </w:rPr>
        <w:t>ab initio</w:t>
      </w:r>
      <w:r w:rsidRPr="00501C2D">
        <w:rPr>
          <w:szCs w:val="24"/>
        </w:rPr>
        <w:t>, vale a dire, nel momento di assumere, mai nel momento di adempiere, il quale è successivo al momento di costituzione del vincolo matrimoniale</w:t>
      </w:r>
      <w:r w:rsidRPr="009D4A0C">
        <w:rPr>
          <w:rStyle w:val="Caratteredellanota"/>
          <w:vertAlign w:val="superscript"/>
        </w:rPr>
        <w:footnoteReference w:id="20"/>
      </w:r>
      <w:r w:rsidRPr="00501C2D">
        <w:rPr>
          <w:szCs w:val="24"/>
        </w:rPr>
        <w:t xml:space="preserve">. La cosiddetta ‘incapacità relativa’, intesa come </w:t>
      </w:r>
      <w:r w:rsidRPr="00501C2D">
        <w:rPr>
          <w:szCs w:val="24"/>
        </w:rPr>
        <w:lastRenderedPageBreak/>
        <w:t>incompatibilità essenziale — nozione che comunque non è facilmente ammessa dalla psichiatria — sarebbe insufficiente per configurare una vera e propria incapacità giuridica, essendo, per tanto, una dottrina poco precisa</w:t>
      </w:r>
      <w:r w:rsidRPr="009D4A0C">
        <w:rPr>
          <w:rStyle w:val="Caratteredellanota"/>
          <w:vertAlign w:val="superscript"/>
        </w:rPr>
        <w:footnoteReference w:id="21"/>
      </w:r>
      <w:r w:rsidRPr="00501C2D">
        <w:rPr>
          <w:szCs w:val="24"/>
        </w:rPr>
        <w:t>.</w:t>
      </w:r>
    </w:p>
    <w:p w14:paraId="0C91C144" w14:textId="77777777" w:rsidR="00743B11" w:rsidRPr="00501C2D" w:rsidRDefault="00743B11" w:rsidP="00743B11">
      <w:pPr>
        <w:widowControl/>
        <w:rPr>
          <w:szCs w:val="24"/>
        </w:rPr>
      </w:pPr>
      <w:r w:rsidRPr="00501C2D">
        <w:rPr>
          <w:szCs w:val="24"/>
        </w:rPr>
        <w:t>In una sentenza c. Felice del 2 marzo 1983, alla luce del canone 1095, 3°, si riconosce un unico tipo di relatività, quella che riguarda gli obblighi essenziali del matrimonio: il giudice è interprete delle leggi, ma non può né deve soppiantare il legislatore. In questa potestà interpretativa il giudice può riconoscere la relatività agli obblighi essenziali, ma non può, in alcun modo, senza snaturare la norma, ammettere un’incapacità relativa all’altro contraente. Questo sarebbe, afferma il ponente, creare una nuova legge</w:t>
      </w:r>
      <w:r w:rsidRPr="009D4A0C">
        <w:rPr>
          <w:rStyle w:val="Caratteredellanota"/>
          <w:vertAlign w:val="superscript"/>
        </w:rPr>
        <w:footnoteReference w:id="22"/>
      </w:r>
      <w:r w:rsidRPr="00501C2D">
        <w:rPr>
          <w:szCs w:val="24"/>
        </w:rPr>
        <w:t>.</w:t>
      </w:r>
    </w:p>
    <w:p w14:paraId="4EB01436" w14:textId="77777777" w:rsidR="00743B11" w:rsidRPr="00501C2D" w:rsidRDefault="00743B11" w:rsidP="00743B11">
      <w:pPr>
        <w:widowControl/>
        <w:rPr>
          <w:szCs w:val="24"/>
        </w:rPr>
      </w:pPr>
      <w:r w:rsidRPr="00501C2D">
        <w:rPr>
          <w:szCs w:val="24"/>
        </w:rPr>
        <w:t>Dinanzi alle teorie sull’incapacità relativa, una sentenza c. Funghini molto citata dalla giurisprudenza successiva, indica alcuni criteri per determinare l’esistenza di una vera incapacità nel caso concreto: a) il coniuge in particolare, indipendentemente dall’altro, deve essere incapace nel momento di manifestare il consenso; b) l’incapacità non è la somma delle patologie lievi di ognuno dei contraenti; c) l’incapacità deve riguardare gli obblighi essenziali del matrimonio, non la persona dell’altro contraente; d) l’incapacità deve avere la sua origine in una causa di natura psichica. Per questo, si può parlare di vera incapacità soltanto in quei casi in cui almeno uno dei contraenti, nel momento del consenso, aveva una perturbazione grave del suo psichismo. La vita matrimoniale servirà come un elemento o mezzo di prova dell’incapacità che esisteva già nel momento del consenso, non potendo mai essere un elemento costitutivo dell’incapacità</w:t>
      </w:r>
      <w:r w:rsidRPr="009D4A0C">
        <w:rPr>
          <w:rStyle w:val="Caratteredellanota"/>
          <w:vertAlign w:val="superscript"/>
        </w:rPr>
        <w:footnoteReference w:id="23"/>
      </w:r>
      <w:r w:rsidRPr="00501C2D">
        <w:rPr>
          <w:szCs w:val="24"/>
        </w:rPr>
        <w:t>.</w:t>
      </w:r>
    </w:p>
    <w:p w14:paraId="54043288" w14:textId="77777777" w:rsidR="00743B11" w:rsidRPr="00501C2D" w:rsidRDefault="00743B11" w:rsidP="00743B11">
      <w:pPr>
        <w:widowControl/>
        <w:rPr>
          <w:szCs w:val="24"/>
        </w:rPr>
      </w:pPr>
      <w:r w:rsidRPr="00501C2D">
        <w:rPr>
          <w:szCs w:val="24"/>
        </w:rPr>
        <w:t>Per chiudere quest</w:t>
      </w:r>
      <w:r w:rsidR="00BF0A1B">
        <w:rPr>
          <w:szCs w:val="24"/>
        </w:rPr>
        <w:t>o paragrafo</w:t>
      </w:r>
      <w:r w:rsidRPr="00501C2D">
        <w:rPr>
          <w:szCs w:val="24"/>
        </w:rPr>
        <w:t xml:space="preserve"> esporrò brevemente alcune considerazioni riguardanti l’ammissibilità o meno dell’incapacità relativa da due punti di vista diversi</w:t>
      </w:r>
      <w:r w:rsidR="00BF0A1B">
        <w:rPr>
          <w:szCs w:val="24"/>
        </w:rPr>
        <w:t xml:space="preserve"> e complementari</w:t>
      </w:r>
      <w:r w:rsidRPr="00501C2D">
        <w:rPr>
          <w:szCs w:val="24"/>
        </w:rPr>
        <w:t xml:space="preserve">. La prima prospettiva è quella dell’incapacità relativa dall’ottica del sistema normativo vigente nella Chiesa. Come dicevo all’inizio, questa impostazione offre una risposta alle interpretazioni un po’ contrastanti del terzo comma del canone 1095, ma non in modo esauriente. La seconda prospettiva è quella dell’essenza del matrimonio quale presupposto per l’adeguata comprensione dei confini e del contenuto della capacità per il matrimonio, la si qualifichi o meno in modo esplicito con l'aggettivo </w:t>
      </w:r>
      <w:r w:rsidRPr="00501C2D">
        <w:rPr>
          <w:i/>
          <w:szCs w:val="24"/>
        </w:rPr>
        <w:t>relativa</w:t>
      </w:r>
      <w:r w:rsidRPr="00501C2D">
        <w:rPr>
          <w:szCs w:val="24"/>
        </w:rPr>
        <w:t>.</w:t>
      </w:r>
    </w:p>
    <w:p w14:paraId="40138038" w14:textId="55BFD2B7" w:rsidR="00743B11" w:rsidRPr="00501C2D" w:rsidRDefault="00743B11" w:rsidP="00743B11">
      <w:pPr>
        <w:widowControl/>
        <w:rPr>
          <w:szCs w:val="24"/>
        </w:rPr>
      </w:pPr>
      <w:r w:rsidRPr="00501C2D">
        <w:rPr>
          <w:szCs w:val="24"/>
        </w:rPr>
        <w:t xml:space="preserve">Dalla prospettiva dell’interpretazione ed applicazione del can. 1095, 3°, si deve affermare che nella Rota Romana esiste un indirizzo giurisprudenziale costante che è contrario a questa nozione. Una prima considerazione si può fare: in quasi tutte le </w:t>
      </w:r>
      <w:r w:rsidRPr="00501C2D">
        <w:rPr>
          <w:szCs w:val="24"/>
        </w:rPr>
        <w:lastRenderedPageBreak/>
        <w:t>sentenze rotali che riguardano questa fattispecie, il dubbio della causa è stato ridefinito nell’incapacità di entrambi i contraenti ad assumere gli obblighi essenziali del matrimonio, modificando i dubbi che stabilivano come capo di nullità l’incapacità relativa. Questo dato serve a confermare quanto dicevo prima: l’origine della fattispecie di solito si trova in una situazione di fatto nella quale si scorge un importante elemento relazionale. Ciò però non significa che si possa parlare di incapacità della relazione</w:t>
      </w:r>
      <w:r w:rsidRPr="00501C2D">
        <w:rPr>
          <w:rStyle w:val="Rimandonotaapidipagina"/>
          <w:szCs w:val="24"/>
        </w:rPr>
        <w:footnoteReference w:id="24"/>
      </w:r>
      <w:r w:rsidRPr="00501C2D">
        <w:rPr>
          <w:szCs w:val="24"/>
        </w:rPr>
        <w:t>. In alcuni di questi</w:t>
      </w:r>
      <w:r w:rsidR="0040341B">
        <w:rPr>
          <w:szCs w:val="24"/>
        </w:rPr>
        <w:t xml:space="preserve"> casi ci troviamo dinanzi ad un’</w:t>
      </w:r>
      <w:r w:rsidRPr="00501C2D">
        <w:rPr>
          <w:szCs w:val="24"/>
        </w:rPr>
        <w:t>incapacità personale che ha avuto origine nell’aggravarsi di una patologia per il rapporto patologico che alla fine porta a uno stato di incapacità per il consenso. È possibile che, se la persona che ora si ritiene incapace avesse trovato un’altra persona con la quale la relazione si sarebbe sviluppata in modo diverso, non avrebbe raggiunto quella situazione di incapacità, ma questo non significa che si possa escludere l’esigenza della prova dell’incapacità personale di uno o di entrambi i contraenti al momento di celebrare il matrimonio.</w:t>
      </w:r>
    </w:p>
    <w:p w14:paraId="472AC500" w14:textId="77777777" w:rsidR="00743B11" w:rsidRPr="00501C2D" w:rsidRDefault="00743B11" w:rsidP="008B57E8">
      <w:pPr>
        <w:widowControl/>
        <w:rPr>
          <w:szCs w:val="24"/>
        </w:rPr>
      </w:pPr>
      <w:r w:rsidRPr="00501C2D">
        <w:rPr>
          <w:szCs w:val="24"/>
        </w:rPr>
        <w:t xml:space="preserve">Questo perché l’incapacità di assumere riguarda il consenso e necessariamente deve essere antecedente o concomitante al consenso. Perciò, in sede di giudizio di incapacità, non basta identificare l’esistenza di un’incapacità per il </w:t>
      </w:r>
      <w:r w:rsidR="008B57E8" w:rsidRPr="00501C2D">
        <w:rPr>
          <w:szCs w:val="24"/>
        </w:rPr>
        <w:t xml:space="preserve">matrimonio al momento presente: </w:t>
      </w:r>
      <w:r w:rsidRPr="00501C2D">
        <w:rPr>
          <w:szCs w:val="24"/>
        </w:rPr>
        <w:t xml:space="preserve">non è lo stesso un’incapacità per </w:t>
      </w:r>
      <w:r w:rsidRPr="00501C2D">
        <w:rPr>
          <w:i/>
          <w:szCs w:val="24"/>
        </w:rPr>
        <w:t>adempiere</w:t>
      </w:r>
      <w:r w:rsidRPr="00501C2D">
        <w:rPr>
          <w:szCs w:val="24"/>
        </w:rPr>
        <w:t xml:space="preserve"> gli obblighi validamente assunti nel momento del consenso, causata dall’insuccesso della rel</w:t>
      </w:r>
      <w:r w:rsidR="008B57E8" w:rsidRPr="00501C2D">
        <w:rPr>
          <w:szCs w:val="24"/>
        </w:rPr>
        <w:t xml:space="preserve">azione matrimoniale, </w:t>
      </w:r>
      <w:r w:rsidRPr="00501C2D">
        <w:rPr>
          <w:szCs w:val="24"/>
        </w:rPr>
        <w:t>che l’insuccesso del matrimonio a causa di un’incapacità presente al momento della celebrazione del matrimonio.</w:t>
      </w:r>
      <w:r w:rsidR="008B57E8" w:rsidRPr="00501C2D">
        <w:rPr>
          <w:szCs w:val="24"/>
        </w:rPr>
        <w:t xml:space="preserve"> Nel primo caso, è evidente, l’incapacità sopravvenuta non avrebbe nessuna rilevanza giuridica riguardo alla validità del matrimonio.</w:t>
      </w:r>
    </w:p>
    <w:p w14:paraId="4ED476FA" w14:textId="77777777" w:rsidR="00743B11" w:rsidRPr="00501C2D" w:rsidRDefault="00743B11" w:rsidP="00743B11">
      <w:pPr>
        <w:widowControl/>
        <w:rPr>
          <w:szCs w:val="24"/>
        </w:rPr>
      </w:pPr>
      <w:r w:rsidRPr="00501C2D">
        <w:rPr>
          <w:szCs w:val="24"/>
        </w:rPr>
        <w:t xml:space="preserve">Come spiegavo precedentemente, parlando dell’incapacità in generale, il giudice, nella soluzione del caso concreto, dovrà accertare l’esistenza degli elementi che il legislatore ha indicato nel canone 1095, 3º, cioè: incapacità e non difficoltà, concomitanza con il consenso — perché l’incapacità è di </w:t>
      </w:r>
      <w:r w:rsidRPr="00501C2D">
        <w:rPr>
          <w:i/>
          <w:szCs w:val="24"/>
        </w:rPr>
        <w:t>assumere —,</w:t>
      </w:r>
      <w:r w:rsidRPr="00501C2D">
        <w:rPr>
          <w:szCs w:val="24"/>
        </w:rPr>
        <w:t xml:space="preserve"> esistenza di una causa psichica grave al momento del consenso, relatività agli obblighi essenziali del matrimonio. In questo modo, la giurisprudenza potrà dare una risposta chiara a tutti gli interrogativi che la dottrina si pone nei confronti dell’incapacità psichica, in particolare di quella che alcuni hanno chiamato incapacità relativa.</w:t>
      </w:r>
    </w:p>
    <w:p w14:paraId="47E536D4" w14:textId="77777777" w:rsidR="00743B11" w:rsidRPr="00501C2D" w:rsidRDefault="00743B11" w:rsidP="00743B11">
      <w:pPr>
        <w:widowControl/>
        <w:rPr>
          <w:szCs w:val="24"/>
        </w:rPr>
      </w:pPr>
      <w:r w:rsidRPr="00501C2D">
        <w:rPr>
          <w:szCs w:val="24"/>
        </w:rPr>
        <w:t>Dalla prospettiva antropologico-giuridica, in ultima analisi mi sembra che il problema principale nei confronti dell'ammissibilità o meno dell’incapacità relativa sia quello di sapere se ci sia o meno un’essenza del matrimonio, cioè, se esist</w:t>
      </w:r>
      <w:r w:rsidR="00BF0A1B">
        <w:rPr>
          <w:szCs w:val="24"/>
        </w:rPr>
        <w:t>a</w:t>
      </w:r>
      <w:r w:rsidRPr="00501C2D">
        <w:rPr>
          <w:szCs w:val="24"/>
        </w:rPr>
        <w:t xml:space="preserve"> una dimensione della persona-maschio e della persona-femmina, in cui si trova configurata la stessa natura umana — intesa in senso metafisico — quale potenzialità la cui libera attualizzazione origina la realtà matrimoniale. Se invece il matrimonio fosse una mera realtà esistenziale mancante assolutamente di questa predeterminazione naturale, che adotta in ogni caso una singolarissima realizzazione, che non ammette giudizi di essenza che prendono avvio dagli aspetti comuni a tutte le persone, allora il criterio per giudicare l’esistenza del matrimonio sarebbe, in fin dei conti, la presenza di questa realizzazione la quale, però, mancherà di un punto di riferimento naturale e, quindi, si farà sulla base di fattori soggettivi, come ad esempio la propria soddisfazione.</w:t>
      </w:r>
    </w:p>
    <w:p w14:paraId="3F752CF8" w14:textId="77777777" w:rsidR="00743B11" w:rsidRPr="00501C2D" w:rsidRDefault="00743B11" w:rsidP="00743B11">
      <w:pPr>
        <w:widowControl/>
        <w:rPr>
          <w:szCs w:val="24"/>
        </w:rPr>
      </w:pPr>
      <w:r w:rsidRPr="00501C2D">
        <w:rPr>
          <w:szCs w:val="24"/>
        </w:rPr>
        <w:t>Nella cultura odierna troviamo molte volte una concezione errata della complementarità matrimoniale, fondata soprattutto sulla soggettività e sulla nozio</w:t>
      </w:r>
      <w:r w:rsidR="008B57E8" w:rsidRPr="00501C2D">
        <w:rPr>
          <w:szCs w:val="24"/>
        </w:rPr>
        <w:t xml:space="preserve">ne di </w:t>
      </w:r>
      <w:r w:rsidR="008B57E8" w:rsidRPr="00501C2D">
        <w:rPr>
          <w:szCs w:val="24"/>
        </w:rPr>
        <w:lastRenderedPageBreak/>
        <w:t>felicità come una realtà statica</w:t>
      </w:r>
      <w:r w:rsidRPr="00501C2D">
        <w:rPr>
          <w:szCs w:val="24"/>
        </w:rPr>
        <w:t>. Sembrerebbe che la complementarità abbia il suo fondamento negli elementi soggettivi delle persone, nelle caratteristiche peculiari di ognuno, come se soltanto poche persone o persino una sola potesse soddisfare le personali esigenze di felicità matrimoniale. Lo sbaglio di questa impostazione, come ho già spiegato, è un’errata concezione della libertà della persona, della complementarità, del matrimonio e della felicità coniugale. Da qui l’importanza, nelle cause riguardanti l’incapacità psichica, di servirsi di periti che non solo si distinguano per la loro competenza tecnica e la rettitudine morale, ma che anche seguano una retta antropologia cristiana</w:t>
      </w:r>
      <w:r w:rsidRPr="00501C2D">
        <w:rPr>
          <w:rStyle w:val="Rimandonotaapidipagina"/>
          <w:szCs w:val="24"/>
        </w:rPr>
        <w:footnoteReference w:id="25"/>
      </w:r>
      <w:r w:rsidRPr="00501C2D">
        <w:rPr>
          <w:szCs w:val="24"/>
        </w:rPr>
        <w:t>.</w:t>
      </w:r>
    </w:p>
    <w:p w14:paraId="0D4B0AA7" w14:textId="77777777" w:rsidR="00743B11" w:rsidRPr="00501C2D" w:rsidRDefault="00743B11" w:rsidP="00743B11">
      <w:pPr>
        <w:widowControl/>
        <w:rPr>
          <w:szCs w:val="24"/>
        </w:rPr>
      </w:pPr>
      <w:r w:rsidRPr="00501C2D">
        <w:rPr>
          <w:szCs w:val="24"/>
        </w:rPr>
        <w:t>È ovvio che ogni matrimonio è una realtà storica e singolare, ma il punto centrale consiste nel sapere se questa singolare storicità corrisponda ad una modalità di unione i cui lineamenti ontologici siano incisi nello stesso essere dell’uomo e della donna. Insomma, è la classica questione riguardo all’esistenza di un’essenza umana che si realizza in ogni essere umano, maschio e femmina. Rifiutata questa realtà, evidentemente viene meno non solo l’antropologia metafisica ma anche qualunque possibilità di fondare una morale e un diritto: per esempio, come potrebbe reggere l’indissolubilità quando non c’è nulla che posseggano in comune tutti e ognuno dei matrimoni?</w:t>
      </w:r>
    </w:p>
    <w:p w14:paraId="12E45301" w14:textId="77777777" w:rsidR="00743B11" w:rsidRPr="00501C2D" w:rsidRDefault="00743B11" w:rsidP="00743B11">
      <w:pPr>
        <w:widowControl/>
        <w:rPr>
          <w:szCs w:val="24"/>
        </w:rPr>
      </w:pPr>
      <w:r w:rsidRPr="00501C2D">
        <w:rPr>
          <w:szCs w:val="24"/>
        </w:rPr>
        <w:t>Inoltre, è evidente l’incompatibilità tra una visione meramente esistenziale ed una impostazione realistica del diritto. La visione esistenziale impoverisce il matrimonio, riducendolo al solo livello dei fatti empirici, oscurando in questo modo la realtà del vincolo: il matrimonio non sarebbe il vincolo, ma la vita matrimoniale nella sua concretezza empirica. In questo modo, la giuridicità del matrimonio sarebbe di indole estrinseca, cioè, dipenderebbe dalla relazione con le norme umane positive, che non sarebbero intrinsecamente collegate con una dimensione di giustizia propria ed essenziale alla realtà stessa: il matrimonio sarebbe quello che il diritto positivo, ecclesiastico o statale, dicesse in ogni momento storico. Ecco qui l’importanza di riscoprire l’essenza del matrimonio come quello universale e permanente, al di sopra dei modi storici di specificazione. Negata l’essenza del matrimonio, tutto il sistema matrimoniale della Chiesa diventerebbe una sovrastruttura artificiale e certamente mutevole alla stregua dei cambiamenti sociali.</w:t>
      </w:r>
    </w:p>
    <w:p w14:paraId="5C5118E4" w14:textId="77777777" w:rsidR="00743B11" w:rsidRPr="00501C2D" w:rsidRDefault="00743B11" w:rsidP="00743B11">
      <w:pPr>
        <w:widowControl/>
        <w:rPr>
          <w:szCs w:val="24"/>
        </w:rPr>
      </w:pPr>
      <w:r w:rsidRPr="00501C2D">
        <w:rPr>
          <w:szCs w:val="24"/>
        </w:rPr>
        <w:t>Riguardo alla relazionalità, termine utilizzato spesso dai difensori dell’incapacità relativa, vorrei dire che è ovvio che il matrimonio è una realtà relazionale. Il problema consiste nel determinare quale sia il contenuto e la natura di questa relazionalità. I sostenitori dell’incapacità relativa sottolineano che il matrimonio è una relazione interpersonale e quindi la capacità fa riferimento alla possibilità di instaurare questa relazione con questa determinata persona. Da qui la necessità di determinare che cosa sia la relazionalità matrimoniale: amicizia, integrazione affettiva o, invece, complementarità nella diversità uomo-donna in quello che hanno di permanente e universale, di essenziale.</w:t>
      </w:r>
    </w:p>
    <w:p w14:paraId="2E34C044" w14:textId="77777777" w:rsidR="00743B11" w:rsidRPr="00501C2D" w:rsidRDefault="00743B11" w:rsidP="00743B11">
      <w:pPr>
        <w:widowControl/>
        <w:rPr>
          <w:szCs w:val="24"/>
        </w:rPr>
      </w:pPr>
      <w:r w:rsidRPr="00501C2D">
        <w:rPr>
          <w:szCs w:val="24"/>
        </w:rPr>
        <w:lastRenderedPageBreak/>
        <w:t>La relazionalità matrimoniale riguarda le persone nell’ambito della modalizzazione ontologica permanente quale è la mascolinità e la femminilità. Soltanto in questo modo si può spiegare la capacità di scegliere liberamente un consorte e di poter restare unito per sempre, malgrado i cambiamenti storici. Se invece l’unione matrimoniale includesse altri fattori di tipo caratteriale o morale, ci troveremmo immersi in una problematica senza fine al momento di determinare se c’è stato o meno il matrimonio, e l’unico criterio valido sarebbe l’effettiva volontà delle persone di perseverare nella loro unione, cioè, l’assoluta soggettivizzazione del matrimonio, spogliato da tutta la sua consistenza oggettiva (oltre quella di tipo meramente legale, ovviamente estrinseca). Soltanto a partire da quello che è permanente è possibile instaurare liberamente un vincolo in giustizia chiamato a perdurare nel tempo, come quello che si ha nel matrimonio: riguardo alle qualità contingenti di qualunque tipo esse siano non è possibile l’impegno stabile né tanto meno la perpetuità. Questo è il motivo per cui, ad esempio, l’amicizia in quanto tale, diversamente da quanto succede nel matrimonio, non costituisce una realtà giuridica.</w:t>
      </w:r>
    </w:p>
    <w:p w14:paraId="38C0B796" w14:textId="77777777" w:rsidR="00743B11" w:rsidRPr="00501C2D" w:rsidRDefault="00743B11" w:rsidP="00743B11">
      <w:pPr>
        <w:widowControl/>
        <w:rPr>
          <w:szCs w:val="24"/>
        </w:rPr>
      </w:pPr>
      <w:r w:rsidRPr="00501C2D">
        <w:rPr>
          <w:szCs w:val="24"/>
        </w:rPr>
        <w:t>Sono queste le ragioni che mi spingono a rifiutare la nozione di incapacità relativa: non tanto una preoccupazione per un ipotetico allargamento della fattispecie dell’incapacità di assumere, quanto l’antropologia che è alla base delle nozioni di incapacità relativa che, a mio avviso, non è concorde con l’antropologia cristiana su cui si basa tutto il sistema matrimoniale della Chiesa e che risponde alla verità dell’uomo, del matrimonio e della famiglia. L’incapacità per assumere, qualunque sia la causa che ne diede origine — una relazione patologica, una malattia, una causa psichica grave —, riguarda l’incapacità di donare ed accettare la propria mascolinità o femminilità in quello che hanno di universale e permanente. Inoltre, il punto di riferimento della capacità non può essere il matrimonio ideale, ma il matrimonio in quello che ha di perenne e universale, cioè, nella sua essenzialità. Ecco qui il perché della necessità di ricuperare una nozione realistica del matrimonio e della persona umana. Il matrimonio è vincolo giuridico nella coniugalità, le persone sono esseri con virtù e difetti, con mancanze concrete, talvolta anche gravi. Sono queste persone reali quelle che hanno il diritto e la capacità di celebrare il matrimonio. In questo senso, sono da respingere quelle nozioni di incapacità che hanno quale punto di riferimento l’integrazione affettiva, l’integrazione morale, l’armonia e l’integrazione delle personalità, la si voglia chiamare assoluta o relativa, e non l’essenza dell’essere persona maschio e femmina, quindi, l’essenza del consenso matrimoniale e della relazione che da esso, quando esiste, necessariamente nasce</w:t>
      </w:r>
      <w:r w:rsidRPr="009D4A0C">
        <w:rPr>
          <w:rStyle w:val="Caratteredellanota"/>
          <w:vertAlign w:val="superscript"/>
        </w:rPr>
        <w:footnoteReference w:id="26"/>
      </w:r>
      <w:r w:rsidRPr="00501C2D">
        <w:rPr>
          <w:szCs w:val="24"/>
        </w:rPr>
        <w:t>.</w:t>
      </w:r>
    </w:p>
    <w:p w14:paraId="544FC8E3" w14:textId="77777777" w:rsidR="00743B11" w:rsidRPr="00501C2D" w:rsidRDefault="00743B11" w:rsidP="00743B11">
      <w:pPr>
        <w:pStyle w:val="n"/>
        <w:widowControl/>
        <w:rPr>
          <w:b/>
          <w:szCs w:val="24"/>
          <w:lang w:val="it-IT"/>
        </w:rPr>
      </w:pPr>
      <w:r w:rsidRPr="00501C2D">
        <w:rPr>
          <w:b/>
          <w:szCs w:val="24"/>
          <w:lang w:val="it-IT"/>
        </w:rPr>
        <w:t>3. La relazione tra il grave difetto della discrezione di giudizio e l’incapacità di assumere gli obblighi essenziali del matrimonio dal punto di vista della volontà</w:t>
      </w:r>
    </w:p>
    <w:p w14:paraId="13DA8CAD" w14:textId="77777777" w:rsidR="00743B11" w:rsidRPr="00501C2D" w:rsidRDefault="00743B11" w:rsidP="00743B11">
      <w:pPr>
        <w:pStyle w:val="n"/>
        <w:widowControl/>
        <w:rPr>
          <w:szCs w:val="24"/>
          <w:lang w:val="it-IT"/>
        </w:rPr>
      </w:pPr>
      <w:r w:rsidRPr="00501C2D">
        <w:rPr>
          <w:szCs w:val="24"/>
          <w:lang w:val="it-IT"/>
        </w:rPr>
        <w:t xml:space="preserve">In questa terza parte esporrò alcune considerazioni alla luce di una sentenza </w:t>
      </w:r>
      <w:r w:rsidRPr="00501C2D">
        <w:rPr>
          <w:i/>
          <w:szCs w:val="24"/>
          <w:lang w:val="it-IT"/>
        </w:rPr>
        <w:t>coram</w:t>
      </w:r>
      <w:r w:rsidRPr="00501C2D">
        <w:rPr>
          <w:szCs w:val="24"/>
          <w:lang w:val="it-IT"/>
        </w:rPr>
        <w:t xml:space="preserve"> Stankiewicz che ho commentato su </w:t>
      </w:r>
      <w:r w:rsidRPr="00501C2D">
        <w:rPr>
          <w:i/>
          <w:szCs w:val="24"/>
          <w:lang w:val="it-IT"/>
        </w:rPr>
        <w:t>Ius Ecclesiae</w:t>
      </w:r>
      <w:r w:rsidRPr="009D4A0C">
        <w:rPr>
          <w:rStyle w:val="Caratteredellanota"/>
          <w:vertAlign w:val="superscript"/>
          <w:lang w:val="it-IT"/>
        </w:rPr>
        <w:footnoteReference w:id="27"/>
      </w:r>
      <w:r w:rsidRPr="00501C2D">
        <w:rPr>
          <w:szCs w:val="24"/>
          <w:lang w:val="it-IT"/>
        </w:rPr>
        <w:t xml:space="preserve">. Il motivo dell’inclusione di queste considerazioni è che sono convinto che uno dei principali problemi </w:t>
      </w:r>
      <w:r w:rsidRPr="00501C2D">
        <w:rPr>
          <w:szCs w:val="24"/>
          <w:lang w:val="it-IT"/>
        </w:rPr>
        <w:lastRenderedPageBreak/>
        <w:t xml:space="preserve">nell’interpretazione del can. 1095 sia la struttura del canone e la sua redazione, motivo per il quale nell’ultima parte del mio intervento farò riferimento ad alcune proposte </w:t>
      </w:r>
      <w:r w:rsidRPr="00501C2D">
        <w:rPr>
          <w:i/>
          <w:szCs w:val="24"/>
          <w:lang w:val="it-IT"/>
        </w:rPr>
        <w:t>de iure condendo</w:t>
      </w:r>
      <w:r w:rsidRPr="00501C2D">
        <w:rPr>
          <w:szCs w:val="24"/>
          <w:lang w:val="it-IT"/>
        </w:rPr>
        <w:t>.</w:t>
      </w:r>
    </w:p>
    <w:p w14:paraId="42538504" w14:textId="77777777" w:rsidR="00743B11" w:rsidRPr="00501C2D" w:rsidRDefault="00743B11" w:rsidP="00743B11">
      <w:pPr>
        <w:pStyle w:val="n"/>
        <w:widowControl/>
        <w:rPr>
          <w:szCs w:val="24"/>
          <w:lang w:val="it-IT"/>
        </w:rPr>
      </w:pPr>
      <w:r w:rsidRPr="00501C2D">
        <w:rPr>
          <w:szCs w:val="24"/>
          <w:lang w:val="it-IT"/>
        </w:rPr>
        <w:t>Dopo aver esposto, benché in modo succinto, la giurisprudenza sull’incapacità e aver indicato i temi che continuano ad essere controversi</w:t>
      </w:r>
      <w:r w:rsidRPr="009D4A0C">
        <w:rPr>
          <w:rStyle w:val="Caratteredellanota"/>
          <w:vertAlign w:val="superscript"/>
          <w:lang w:val="it-IT"/>
        </w:rPr>
        <w:footnoteReference w:id="28"/>
      </w:r>
      <w:r w:rsidRPr="00501C2D">
        <w:rPr>
          <w:szCs w:val="24"/>
          <w:lang w:val="it-IT"/>
        </w:rPr>
        <w:t>, ora incentrerò la mia analisi sulla relazione tra la discrezione di giudizio e l’incapacità di assumere.</w:t>
      </w:r>
    </w:p>
    <w:p w14:paraId="1922BED3" w14:textId="77777777" w:rsidR="00743B11" w:rsidRPr="00501C2D" w:rsidRDefault="00743B11" w:rsidP="00743B11">
      <w:pPr>
        <w:pStyle w:val="n"/>
        <w:widowControl/>
        <w:rPr>
          <w:szCs w:val="24"/>
          <w:lang w:val="it-IT"/>
        </w:rPr>
      </w:pPr>
      <w:r w:rsidRPr="00501C2D">
        <w:rPr>
          <w:szCs w:val="24"/>
          <w:lang w:val="it-IT"/>
        </w:rPr>
        <w:t xml:space="preserve">Esula dallo scopo di questa </w:t>
      </w:r>
      <w:r w:rsidR="004730F6">
        <w:rPr>
          <w:szCs w:val="24"/>
          <w:lang w:val="it-IT"/>
        </w:rPr>
        <w:t>relazione</w:t>
      </w:r>
      <w:r w:rsidR="004730F6" w:rsidRPr="00501C2D">
        <w:rPr>
          <w:szCs w:val="24"/>
          <w:lang w:val="it-IT"/>
        </w:rPr>
        <w:t xml:space="preserve"> </w:t>
      </w:r>
      <w:r w:rsidRPr="00501C2D">
        <w:rPr>
          <w:szCs w:val="24"/>
          <w:lang w:val="it-IT"/>
        </w:rPr>
        <w:t>tentare di presentare una ricostruzione delle diverse fasi — dal punto di vista giuridico e antropologico — dell’atto umano libero. Ciononostante, tenterò di fare alcune considerazioni, alla luce della citata sentenza c. Stankiewicz, cercando di seguire il ragionamento del ponente e tentando di apportare alcuni elementi che possano servire per capire in tutta la sua portata il consenso matrimoniale e, di conseguenza, la natura dell’incapacità psichica per dare un vero consenso, alla luce della natura dell’atto di volontà.</w:t>
      </w:r>
    </w:p>
    <w:p w14:paraId="64FF6C5B" w14:textId="77777777" w:rsidR="00743B11" w:rsidRPr="00501C2D" w:rsidRDefault="00743B11" w:rsidP="00743B11">
      <w:pPr>
        <w:pStyle w:val="n"/>
        <w:widowControl/>
        <w:rPr>
          <w:szCs w:val="24"/>
          <w:lang w:val="it-IT"/>
        </w:rPr>
      </w:pPr>
      <w:r w:rsidRPr="00501C2D">
        <w:rPr>
          <w:szCs w:val="24"/>
          <w:lang w:val="it-IT"/>
        </w:rPr>
        <w:t>Soltanto se riusciamo a capire che cosa è il consenso matrimoniale come atto umano e quale sia il suo oggetto dal punto di vista antropologico-giuridico, riusciremo a capire che cosa è l’incapacità.</w:t>
      </w:r>
    </w:p>
    <w:p w14:paraId="35ECD8BE" w14:textId="77777777" w:rsidR="00743B11" w:rsidRPr="00501C2D" w:rsidRDefault="00743B11" w:rsidP="00743B11">
      <w:pPr>
        <w:pStyle w:val="n"/>
        <w:widowControl/>
        <w:rPr>
          <w:szCs w:val="24"/>
          <w:lang w:val="it-IT"/>
        </w:rPr>
      </w:pPr>
      <w:r w:rsidRPr="00501C2D">
        <w:rPr>
          <w:szCs w:val="24"/>
          <w:lang w:val="it-IT"/>
        </w:rPr>
        <w:t>Uno dei punti più interessanti della succitata sentenza è l’analisi che fa il ponente della natura dell’atto umano libero (cfr. nn. 4-6) e il confronto che stabilisce con la dottrina recente, in modo particolare con Tejero</w:t>
      </w:r>
      <w:r w:rsidRPr="00501C2D">
        <w:rPr>
          <w:rStyle w:val="Rimandonotaapidipagina"/>
          <w:szCs w:val="24"/>
          <w:lang w:val="it-IT"/>
        </w:rPr>
        <w:footnoteReference w:id="29"/>
      </w:r>
      <w:r w:rsidRPr="00501C2D">
        <w:rPr>
          <w:szCs w:val="24"/>
          <w:lang w:val="it-IT"/>
        </w:rPr>
        <w:t>, riguardo alla relazione tra l’incapacità di assumere e la natura del consenso come atto della volontà, chiedendosi se l’ormai affermata distinzione tra consenso-soggetto e consenso-oggetto che spesso adopera la giurisprudenza rotale risponda o meno alla struttura dell’atto del consenso considerato nella sua struttura giuridica e antropologica.</w:t>
      </w:r>
    </w:p>
    <w:p w14:paraId="5A43CA43" w14:textId="77777777" w:rsidR="00743B11" w:rsidRPr="00501C2D" w:rsidRDefault="00743B11" w:rsidP="00743B11">
      <w:pPr>
        <w:widowControl/>
        <w:rPr>
          <w:szCs w:val="24"/>
        </w:rPr>
      </w:pPr>
      <w:r w:rsidRPr="00501C2D">
        <w:rPr>
          <w:szCs w:val="24"/>
        </w:rPr>
        <w:t xml:space="preserve">Nei suoi ragionamenti, il ponente conclude </w:t>
      </w:r>
      <w:r w:rsidR="00172E8E">
        <w:rPr>
          <w:szCs w:val="24"/>
        </w:rPr>
        <w:t>ad ogni modo</w:t>
      </w:r>
      <w:r w:rsidRPr="00501C2D">
        <w:rPr>
          <w:szCs w:val="24"/>
        </w:rPr>
        <w:t xml:space="preserve"> che quella solita distinzione tra il consenso come atto soggettivo e l’oggetto di questo atto è adeguata alla struttura dell’atto umano, seguendo in questo l’indirizzo giurisprudenziale maggioritario</w:t>
      </w:r>
      <w:r w:rsidRPr="009D4A0C">
        <w:rPr>
          <w:rStyle w:val="Caratteredellanota"/>
          <w:vertAlign w:val="superscript"/>
        </w:rPr>
        <w:footnoteReference w:id="30"/>
      </w:r>
      <w:r w:rsidRPr="00501C2D">
        <w:rPr>
          <w:szCs w:val="24"/>
        </w:rPr>
        <w:t>. Per arrivare a questa conclusione, fa un’accurata analisi dell’atto volontario alla luce dalla psicologia tomista, prendendo anche spunto dalla moderna antropologia filosofica e dalla psicologia moderna. Condivido molte delle cose che dice il ponente, soprattutto per quanto riguarda la critica ad una visione troppo intellettualistica della discrezione di giudizio, che impedisce di capire la dimensione anche volontaria della discrezione di giudizio</w:t>
      </w:r>
      <w:r w:rsidRPr="009D4A0C">
        <w:rPr>
          <w:rStyle w:val="Caratteredellanota"/>
          <w:vertAlign w:val="superscript"/>
        </w:rPr>
        <w:footnoteReference w:id="31"/>
      </w:r>
      <w:r w:rsidRPr="00501C2D">
        <w:rPr>
          <w:szCs w:val="24"/>
        </w:rPr>
        <w:t xml:space="preserve">. Hervada, in uno scritto sull’essenza del </w:t>
      </w:r>
      <w:r w:rsidRPr="00501C2D">
        <w:rPr>
          <w:szCs w:val="24"/>
        </w:rPr>
        <w:lastRenderedPageBreak/>
        <w:t xml:space="preserve">matrimonio, spiega perché la discrezione di giudizio non riguarda soltanto l’intelletto ma coinvolge anche la volontà in quanto implica un giudizio dell’intelletto pratico: «sposarsi non è una semplice constatazione o dichiarazione, ma un operare, un volersi unire </w:t>
      </w:r>
      <w:r w:rsidRPr="00501C2D">
        <w:rPr>
          <w:i/>
          <w:szCs w:val="24"/>
        </w:rPr>
        <w:t>propter fines</w:t>
      </w:r>
      <w:r w:rsidRPr="00501C2D">
        <w:rPr>
          <w:szCs w:val="24"/>
        </w:rPr>
        <w:t xml:space="preserve">, in ragione dei fini. Ne consegue che la ragione debba esercitare un </w:t>
      </w:r>
      <w:r w:rsidRPr="00501C2D">
        <w:rPr>
          <w:i/>
          <w:szCs w:val="24"/>
        </w:rPr>
        <w:t>giudizio pratico</w:t>
      </w:r>
      <w:r w:rsidRPr="00501C2D">
        <w:rPr>
          <w:szCs w:val="24"/>
        </w:rPr>
        <w:t xml:space="preserve">, e che la capacità di prestare il consenso sia una </w:t>
      </w:r>
      <w:r w:rsidRPr="00501C2D">
        <w:rPr>
          <w:i/>
          <w:szCs w:val="24"/>
        </w:rPr>
        <w:t>discrezione</w:t>
      </w:r>
      <w:r w:rsidRPr="00501C2D">
        <w:rPr>
          <w:szCs w:val="24"/>
        </w:rPr>
        <w:t xml:space="preserve">, una capacità della ragion pratica; da qui, inoltre, il nome di questa capacità: discrezione di giudizio. Ciò che si chiede al contraente è che sia sufficientemente </w:t>
      </w:r>
      <w:r w:rsidRPr="00501C2D">
        <w:rPr>
          <w:i/>
          <w:szCs w:val="24"/>
        </w:rPr>
        <w:t>capace di discernere</w:t>
      </w:r>
      <w:r w:rsidRPr="00501C2D">
        <w:rPr>
          <w:szCs w:val="24"/>
        </w:rPr>
        <w:t>, ossia che abbia la maturità sufficiente nella ragion pratica»</w:t>
      </w:r>
      <w:r w:rsidRPr="009D4A0C">
        <w:rPr>
          <w:rStyle w:val="Caratteredellanota"/>
          <w:vertAlign w:val="superscript"/>
        </w:rPr>
        <w:footnoteReference w:id="32"/>
      </w:r>
      <w:r w:rsidRPr="00501C2D">
        <w:rPr>
          <w:szCs w:val="24"/>
        </w:rPr>
        <w:t>.</w:t>
      </w:r>
    </w:p>
    <w:p w14:paraId="75B352FD" w14:textId="77777777" w:rsidR="00743B11" w:rsidRPr="00501C2D" w:rsidRDefault="00743B11" w:rsidP="00743B11">
      <w:pPr>
        <w:widowControl/>
        <w:rPr>
          <w:sz w:val="28"/>
        </w:rPr>
      </w:pPr>
      <w:r w:rsidRPr="00501C2D">
        <w:t>Uno dei temi che sin dalle origini del canone è stato discusso è se la precisazione fatta dal legislatore nel terzo numero del canone, secondo cui l’incapacità deve avere una causa psichica, sia un elemento intrinseco della fattispecie fondato nel diritto naturale o sia invece un limite stabilito dal legislatore per ragioni di prudenza</w:t>
      </w:r>
      <w:r w:rsidRPr="009D4A0C">
        <w:rPr>
          <w:rStyle w:val="Caratteredellanota"/>
          <w:vertAlign w:val="superscript"/>
        </w:rPr>
        <w:footnoteReference w:id="33"/>
      </w:r>
      <w:r w:rsidRPr="00501C2D">
        <w:t>. Al riguardo sono molto illuminanti le precisazioni che fa Stankiewicz sul senso del numero terzo del canone 1095, laddove afferma che non è una limitazione del diritto positivo stabilito dal legislatore per ragioni di prudenza che l’incapacità debba avere la sua origine in una causa psichica</w:t>
      </w:r>
      <w:r w:rsidRPr="009D4A0C">
        <w:rPr>
          <w:rStyle w:val="Caratteredellanota"/>
          <w:vertAlign w:val="superscript"/>
        </w:rPr>
        <w:footnoteReference w:id="34"/>
      </w:r>
      <w:r w:rsidRPr="00501C2D">
        <w:t xml:space="preserve">. </w:t>
      </w:r>
      <w:r w:rsidRPr="00501C2D">
        <w:rPr>
          <w:szCs w:val="24"/>
        </w:rPr>
        <w:t>Per tanto, afferma Stankiewicz, l’incapacità di assumere non sorge a causa di vizi morali o per il disinteresse nell’acquisire le virtù, benché tali difetti possano portare al fallimento della vita coniugale</w:t>
      </w:r>
      <w:r w:rsidRPr="009D4A0C">
        <w:rPr>
          <w:rStyle w:val="Caratteredellanota"/>
          <w:vertAlign w:val="superscript"/>
        </w:rPr>
        <w:footnoteReference w:id="35"/>
      </w:r>
      <w:r w:rsidRPr="00501C2D">
        <w:rPr>
          <w:sz w:val="28"/>
        </w:rPr>
        <w:t>.</w:t>
      </w:r>
    </w:p>
    <w:p w14:paraId="7B83AE44" w14:textId="77777777" w:rsidR="00743B11" w:rsidRPr="00501C2D" w:rsidRDefault="00743B11" w:rsidP="00743B11">
      <w:pPr>
        <w:widowControl/>
        <w:rPr>
          <w:szCs w:val="24"/>
        </w:rPr>
      </w:pPr>
      <w:r w:rsidRPr="00501C2D">
        <w:rPr>
          <w:szCs w:val="24"/>
        </w:rPr>
        <w:t xml:space="preserve">Riguardo a questo elemento dell’incapacità di assumere, l’Istruzione </w:t>
      </w:r>
      <w:r w:rsidRPr="0040341B">
        <w:rPr>
          <w:i/>
          <w:szCs w:val="24"/>
        </w:rPr>
        <w:t>Dignitas Connubii</w:t>
      </w:r>
      <w:r w:rsidRPr="00501C2D">
        <w:rPr>
          <w:szCs w:val="24"/>
        </w:rPr>
        <w:t xml:space="preserve"> ha accolto la giurisprudenza rotale maggioritaria, nonché le precisazioni fatte da Giovanni Paolo II nei suoi Discorsi alla Rota Romana, determinando che l’esistenza di un’anomalia psichica, per la natura stessa dell’incapacità nelle sue tre dimensioni — uso di ragione, discrezione di giudizio e capacità di assumere — è requisito di qualsiasi vera incapacità psichica e non solo qualcosa che riguarda il terzo numero del canone 1095. Infatti, nel definire quello che si dovrebbe chiedere al perito nelle cause di nullità </w:t>
      </w:r>
      <w:r w:rsidRPr="00501C2D">
        <w:rPr>
          <w:szCs w:val="24"/>
        </w:rPr>
        <w:lastRenderedPageBreak/>
        <w:t xml:space="preserve">per incapacità, indipendentemente da quale sia la dimensione della capacità consensuale che è stata intaccata, </w:t>
      </w:r>
      <w:r w:rsidR="00172E8E">
        <w:rPr>
          <w:szCs w:val="24"/>
        </w:rPr>
        <w:t>si prevede</w:t>
      </w:r>
      <w:r w:rsidRPr="00501C2D">
        <w:rPr>
          <w:szCs w:val="24"/>
        </w:rPr>
        <w:t xml:space="preserve"> nell’articolo 209 § 1: «Nelle cause per l'incapacità, secondo il can. 1095, il giudice non ometta di chiedere al perito se una o entrambe le parti, al tempo del matrimonio fossero affette da una particolare anomalia abituale o transitoria; quale ne fosse la gravità; quando, per quali cause e in quali circostanze tale anomalia abbia avuto origine e si sia manifestata». Successivamente, nel definire gli elementi di ogni singola fattispecie del canone 1095, nel § 2 dello stesso articolo </w:t>
      </w:r>
      <w:r w:rsidR="00172E8E">
        <w:rPr>
          <w:szCs w:val="24"/>
        </w:rPr>
        <w:t xml:space="preserve">si </w:t>
      </w:r>
      <w:r w:rsidRPr="00501C2D">
        <w:rPr>
          <w:szCs w:val="24"/>
        </w:rPr>
        <w:t>parla, in tutti e tre, di anomalia psichica o di causa psichica</w:t>
      </w:r>
      <w:r w:rsidRPr="00501C2D">
        <w:rPr>
          <w:rStyle w:val="Rimandonotaapidipagina"/>
          <w:szCs w:val="24"/>
        </w:rPr>
        <w:footnoteReference w:id="36"/>
      </w:r>
      <w:r w:rsidRPr="00501C2D">
        <w:rPr>
          <w:szCs w:val="24"/>
        </w:rPr>
        <w:t>.</w:t>
      </w:r>
    </w:p>
    <w:p w14:paraId="05C15860" w14:textId="77777777" w:rsidR="00743B11" w:rsidRPr="00501C2D" w:rsidRDefault="00743B11" w:rsidP="00743B11">
      <w:pPr>
        <w:widowControl/>
      </w:pPr>
      <w:r w:rsidRPr="00501C2D">
        <w:t>È anche chiara la precisazione che fa la sentenza riguardo all’importanza di capire cosa signific</w:t>
      </w:r>
      <w:r w:rsidR="00172E8E">
        <w:t>hi</w:t>
      </w:r>
      <w:r w:rsidRPr="00501C2D">
        <w:t>, dal punto di vista dell’atto del consenso, che l’incapacità riguarda l’assunzione e non l’adempimento degli obblighi essenziali, i quali devono essere presenti nel momento di dare il consenso non come realtà che dovranno essere adempiute, ma come realtà che il soggetto deve essere capace di assumere come obblighi. Comunque, il ponente, nell’affermare questo, accetta anche la comune interpretazione giurisprudenziale secondo la quale l’incapace di assumere sarebbe capace di fare un atto di volontà ma incapace di assumere il suo oggetto</w:t>
      </w:r>
      <w:r w:rsidRPr="009D4A0C">
        <w:rPr>
          <w:rStyle w:val="Caratteredellanota"/>
          <w:vertAlign w:val="superscript"/>
        </w:rPr>
        <w:footnoteReference w:id="37"/>
      </w:r>
      <w:r w:rsidRPr="00501C2D">
        <w:t>.</w:t>
      </w:r>
    </w:p>
    <w:p w14:paraId="6567FD1E" w14:textId="77777777" w:rsidR="00743B11" w:rsidRPr="00501C2D" w:rsidRDefault="00743B11" w:rsidP="00743B11">
      <w:pPr>
        <w:widowControl/>
      </w:pPr>
      <w:r w:rsidRPr="00501C2D">
        <w:t>Arriviamo quindi ad un punto, sul quale vorrei soffermarmi di più, che a mio avviso resta ancora aperto</w:t>
      </w:r>
      <w:r w:rsidRPr="00413B75">
        <w:rPr>
          <w:rStyle w:val="Caratteredellanota"/>
          <w:vertAlign w:val="superscript"/>
        </w:rPr>
        <w:footnoteReference w:id="38"/>
      </w:r>
      <w:r w:rsidRPr="00501C2D">
        <w:t xml:space="preserve">. Il ponente, che segue l’impostazione maggioritaria della giurisprudenza, dice — interpretando San Tommaso — che l’incapacità di assumere, benché riguardi l’atto del consenso, non si può includere completamente tra gli elementi dell’atto volontario, perché riguarderebbe, più che la scelta, l’uso che segue alla scelta. Questo spiegherebbe il perché della divisione dei due numeri, ma non solo. Spiegherebbe anche quella </w:t>
      </w:r>
      <w:r w:rsidRPr="00501C2D">
        <w:rPr>
          <w:i/>
        </w:rPr>
        <w:t>mens</w:t>
      </w:r>
      <w:r w:rsidRPr="00501C2D">
        <w:t xml:space="preserve"> del </w:t>
      </w:r>
      <w:r w:rsidRPr="00501C2D">
        <w:rPr>
          <w:i/>
        </w:rPr>
        <w:t>Coetus</w:t>
      </w:r>
      <w:r w:rsidRPr="00501C2D">
        <w:t xml:space="preserve"> sul matrimonio che ha fatto la distinzione tra il consenso come atto umano libero — il cosiddetto consenso come atto soggettivo </w:t>
      </w:r>
      <w:r w:rsidRPr="00501C2D">
        <w:lastRenderedPageBreak/>
        <w:t>— e l’oggetto di questo atto umano — che alcuni chiamano il “consenso oggetto” —. Da questa prospettiva, afferma che nel caso dell’incapacità di assumere gli obblighi essenziali del matrimonio ci sarebbe l’atto umano, il consenso, benché non veramente matrimoniale perché chi emette il consenso vuole veramente il matrimonio, ma non è capace di assumere quello che esso implica nella sua essenza giuridica.</w:t>
      </w:r>
    </w:p>
    <w:p w14:paraId="6166421C" w14:textId="77777777" w:rsidR="00743B11" w:rsidRPr="00501C2D" w:rsidRDefault="00743B11" w:rsidP="00743B11">
      <w:pPr>
        <w:widowControl/>
      </w:pPr>
      <w:r w:rsidRPr="00501C2D">
        <w:t>La domanda che più volte mi sono posto man mano che leggevo l’</w:t>
      </w:r>
      <w:r w:rsidRPr="00501C2D">
        <w:rPr>
          <w:i/>
        </w:rPr>
        <w:t>in</w:t>
      </w:r>
      <w:r w:rsidRPr="00501C2D">
        <w:t xml:space="preserve"> </w:t>
      </w:r>
      <w:r w:rsidRPr="00501C2D">
        <w:rPr>
          <w:i/>
        </w:rPr>
        <w:t>iure</w:t>
      </w:r>
      <w:r w:rsidRPr="00501C2D">
        <w:t xml:space="preserve"> della sentenza era la seguente: si può dire che esista l’atto volontario quando il suo oggetto è radicalmente impossibile? Occorre affermare che chi non può assumere l’essenza del matrimonio è incapace perché, malgrado possa fare un vero atto di volontà — come è il consenso matrimoniale — in quanto non può assumere questa realtà nella sua essenza sarebbe incapace per il matrimonio?</w:t>
      </w:r>
    </w:p>
    <w:p w14:paraId="2B0320B0" w14:textId="77777777" w:rsidR="00743B11" w:rsidRPr="00501C2D" w:rsidRDefault="00743B11" w:rsidP="00743B11">
      <w:pPr>
        <w:widowControl/>
      </w:pPr>
      <w:r w:rsidRPr="00501C2D">
        <w:t xml:space="preserve">Sono consapevole </w:t>
      </w:r>
      <w:r w:rsidR="00172E8E">
        <w:t xml:space="preserve">del fatto </w:t>
      </w:r>
      <w:r w:rsidRPr="00501C2D">
        <w:t>che la risposta che darò non chiud</w:t>
      </w:r>
      <w:r w:rsidR="00172E8E">
        <w:t>a</w:t>
      </w:r>
      <w:r w:rsidRPr="00501C2D">
        <w:t xml:space="preserve"> la questione, ma è solo un tentativo di contribuire ad un dibattito che non è certamente chiuso. Non si tratta di una semplice questione di erudizione, perché sono convinto che dalla comprensione dell’atto umano del consenso e della sua struttura dipenda la retta comprensione dell’incapacità psichica, tanto del difetto della discrezione di giudizio quanto dell’incapacità di assumere.</w:t>
      </w:r>
    </w:p>
    <w:p w14:paraId="3209C4B9" w14:textId="77777777" w:rsidR="00743B11" w:rsidRPr="00501C2D" w:rsidRDefault="00743B11" w:rsidP="00743B11">
      <w:pPr>
        <w:widowControl/>
      </w:pPr>
      <w:r w:rsidRPr="00501C2D">
        <w:t>A mio avviso, il punto centrale per dare risposta ai precedenti quesiti sarebbe la considerazione di quella che San Tommaso chiama l’inefficacia della «scelta dell’impossibile», che non sarebbe vera scelta, essendo più velleità che volontà. Afferma l’Angelico che nessuno si muove verso l’impossibile e, quindi, quello che è impossibile non è oggetto di scelta: «Unde nullus tenderet in finem, nisi per hoc quod apparet id quod est ad finem esse possibile. Unde id quod est impossibile sub electione non cadit»</w:t>
      </w:r>
      <w:r w:rsidRPr="00413B75">
        <w:rPr>
          <w:rStyle w:val="Caratteredellanota"/>
          <w:vertAlign w:val="superscript"/>
        </w:rPr>
        <w:footnoteReference w:id="39"/>
      </w:r>
      <w:r w:rsidRPr="00501C2D">
        <w:t>. Vale a dire, non è che io abbia scelto veramente ma la mia scelta è inefficace perché ho scelto qualcosa che è impossibile, ma è piuttosto che l’impossibile non può essere oggetto di vera scelta, per cui la scelta dell’impossibile non è vera scelta.</w:t>
      </w:r>
    </w:p>
    <w:p w14:paraId="3BCCBD4E" w14:textId="77777777" w:rsidR="00743B11" w:rsidRPr="00501C2D" w:rsidRDefault="00743B11" w:rsidP="00743B11">
      <w:pPr>
        <w:widowControl/>
      </w:pPr>
      <w:r w:rsidRPr="00501C2D">
        <w:t>Commentando questo passo di San Tommaso, afferma García López: «Quasi non è necessario dire che l’oggetto della scelta sono i mezzi in quanto tali e mai il fine nella sua ragione formale di fine. Se qualche volta il fine fosse oggetto di scelta, a questo punto non lo si considererebbe come fine, ma come mezzo in ordine ad un ulteriore fine. Per di più, i mezzi di cui qui si tratta devono essere sempre eseguibili o agibili per il soggetto che gli sceglie; quelli che non lo sono, non possono essere oggetto di scelta, ma di una volizione inefficace, che riceve il nome di velleità»</w:t>
      </w:r>
      <w:r w:rsidRPr="00413B75">
        <w:rPr>
          <w:rStyle w:val="Caratteredellanota"/>
          <w:vertAlign w:val="superscript"/>
        </w:rPr>
        <w:footnoteReference w:id="40"/>
      </w:r>
      <w:r w:rsidRPr="00501C2D">
        <w:t>.</w:t>
      </w:r>
    </w:p>
    <w:p w14:paraId="388739D8" w14:textId="77777777" w:rsidR="00743B11" w:rsidRPr="00501C2D" w:rsidRDefault="00743B11" w:rsidP="00743B11">
      <w:pPr>
        <w:widowControl/>
      </w:pPr>
      <w:r w:rsidRPr="00501C2D">
        <w:t xml:space="preserve">Hervada, parlando del consenso matrimoniale come atto di volontà, distingue chiaramente tra il </w:t>
      </w:r>
      <w:r w:rsidRPr="00501C2D">
        <w:rPr>
          <w:i/>
        </w:rPr>
        <w:t>volitum</w:t>
      </w:r>
      <w:r w:rsidRPr="00501C2D">
        <w:t xml:space="preserve"> e il </w:t>
      </w:r>
      <w:r w:rsidRPr="00501C2D">
        <w:rPr>
          <w:i/>
        </w:rPr>
        <w:t>voluntarium</w:t>
      </w:r>
      <w:r w:rsidRPr="00501C2D">
        <w:t>, affermando che il consenso matrimoniale, perché sia tale, deve essere non soltanto voluto (</w:t>
      </w:r>
      <w:r w:rsidRPr="00501C2D">
        <w:rPr>
          <w:i/>
        </w:rPr>
        <w:t>volitum</w:t>
      </w:r>
      <w:r w:rsidRPr="00501C2D">
        <w:t>) ma volontario, vale a dire, vero atto di volontà (</w:t>
      </w:r>
      <w:r w:rsidRPr="00501C2D">
        <w:rPr>
          <w:i/>
        </w:rPr>
        <w:t>voluntarium</w:t>
      </w:r>
      <w:r w:rsidRPr="00501C2D">
        <w:t>): «Il consenso matrimoniale non è un atto di desiderio, non è un volere inefficace, ma un atto volontario (</w:t>
      </w:r>
      <w:r w:rsidRPr="00501C2D">
        <w:rPr>
          <w:i/>
        </w:rPr>
        <w:t>voluntarium</w:t>
      </w:r>
      <w:r w:rsidRPr="00501C2D">
        <w:t xml:space="preserve">), un volere efficace ed operativo. Per questo non si deve cadere nella confusione tra il </w:t>
      </w:r>
      <w:r w:rsidRPr="00501C2D">
        <w:rPr>
          <w:i/>
        </w:rPr>
        <w:t>volitum</w:t>
      </w:r>
      <w:r w:rsidRPr="00501C2D">
        <w:t xml:space="preserve"> e il </w:t>
      </w:r>
      <w:r w:rsidRPr="00501C2D">
        <w:rPr>
          <w:i/>
        </w:rPr>
        <w:t>voluntarium</w:t>
      </w:r>
      <w:r w:rsidRPr="00501C2D">
        <w:t xml:space="preserve">. Non è lo stesso che la volontà desideri — anche ardentemente — una cosa (questa cosa desiderata è il </w:t>
      </w:r>
      <w:r w:rsidRPr="00501C2D">
        <w:rPr>
          <w:i/>
        </w:rPr>
        <w:t>volitum</w:t>
      </w:r>
      <w:r w:rsidRPr="00501C2D">
        <w:t xml:space="preserve">) o che </w:t>
      </w:r>
      <w:r w:rsidRPr="00501C2D">
        <w:rPr>
          <w:i/>
        </w:rPr>
        <w:t>voglia operativamente</w:t>
      </w:r>
      <w:r w:rsidRPr="00501C2D">
        <w:t xml:space="preserve"> tale cosa (questo è il </w:t>
      </w:r>
      <w:r w:rsidRPr="00501C2D">
        <w:rPr>
          <w:i/>
        </w:rPr>
        <w:t>voluntarium</w:t>
      </w:r>
      <w:r w:rsidRPr="00501C2D">
        <w:t xml:space="preserve">). </w:t>
      </w:r>
      <w:r w:rsidRPr="00501C2D">
        <w:lastRenderedPageBreak/>
        <w:t xml:space="preserve">Sembra impensabile che qualcuno sia capace di </w:t>
      </w:r>
      <w:r w:rsidRPr="00501C2D">
        <w:rPr>
          <w:i/>
        </w:rPr>
        <w:t>volere</w:t>
      </w:r>
      <w:r w:rsidRPr="00501C2D">
        <w:t xml:space="preserve"> l’obbligazione essendo incapace di adempierla; un simile volere non è un vero volere efficace (</w:t>
      </w:r>
      <w:r w:rsidRPr="00501C2D">
        <w:rPr>
          <w:i/>
        </w:rPr>
        <w:t>voluntarium</w:t>
      </w:r>
      <w:r w:rsidRPr="00501C2D">
        <w:t xml:space="preserve">), ma un volere di desiderio, un volere inefficace, e pertanto un semplice </w:t>
      </w:r>
      <w:r w:rsidRPr="00501C2D">
        <w:rPr>
          <w:i/>
        </w:rPr>
        <w:t>volitum</w:t>
      </w:r>
      <w:r w:rsidRPr="00501C2D">
        <w:t>, insufficiente per contrarre matrimonio»</w:t>
      </w:r>
      <w:r w:rsidRPr="00413B75">
        <w:rPr>
          <w:rStyle w:val="Caratteredellanota"/>
          <w:vertAlign w:val="superscript"/>
        </w:rPr>
        <w:footnoteReference w:id="41"/>
      </w:r>
      <w:r w:rsidRPr="00501C2D">
        <w:t>.</w:t>
      </w:r>
    </w:p>
    <w:p w14:paraId="36C2EB83" w14:textId="77777777" w:rsidR="00743B11" w:rsidRPr="00501C2D" w:rsidRDefault="00743B11" w:rsidP="00743B11">
      <w:pPr>
        <w:widowControl/>
        <w:rPr>
          <w:lang w:eastAsia="it-IT" w:bidi="it-IT"/>
        </w:rPr>
      </w:pPr>
      <w:r w:rsidRPr="00501C2D">
        <w:rPr>
          <w:lang w:eastAsia="it-IT" w:bidi="it-IT"/>
        </w:rPr>
        <w:t>È molto importante capire che quando si sceglie l’impossibile non c’è una vera scelta della volontà, perché le incapacità che intaccano direttamente le altre potenze sensibili hanno anche delle conseguenze volitive e intellettive. Psicologicamente siamo un’unità e, a mio avviso, uno dei difetti dell’attuale concezione sull’incapacità consiste precisamente nella dicotomia tra le sfere intellettivo-volitiva e psichica. Entrambe sono profondamente unite. Si può avere, infatti, velleità, quando si sceglie l’impossibile, ma non autentica volizione che possiede tutta la forza e la consistenza di un atto situato nell’ordine pratico. Quindi, velleità non sarebbe soltanto quella di chi sceglie qualcosa che sa positivamente che si trova al di fuori della sua portata, ma lo sarebbe anche, e in tutti i sensi, la scelta di colui che vuole veramente qualcosa — e la vuole forse con tutte le sue forze — e crede di essere capace di sceglierla, ma per una causa psichica non è veramente capace di sceglierla.</w:t>
      </w:r>
    </w:p>
    <w:p w14:paraId="6ED1C479" w14:textId="77777777" w:rsidR="00743B11" w:rsidRPr="00501C2D" w:rsidRDefault="00743B11" w:rsidP="00743B11">
      <w:pPr>
        <w:widowControl/>
        <w:rPr>
          <w:lang w:eastAsia="it-IT" w:bidi="it-IT"/>
        </w:rPr>
      </w:pPr>
      <w:r w:rsidRPr="00501C2D">
        <w:rPr>
          <w:lang w:eastAsia="it-IT" w:bidi="it-IT"/>
        </w:rPr>
        <w:t>Penso che non tener conto di questa precisazione possa rendere difficile capire, ad esempio, perché non è vera scelta quella di qualcuno che, ad esempio, sa che cosa è il matrimonio, sa valutare adeguatamente cosa signific</w:t>
      </w:r>
      <w:r w:rsidR="00042F7B">
        <w:rPr>
          <w:lang w:eastAsia="it-IT" w:bidi="it-IT"/>
        </w:rPr>
        <w:t>hi</w:t>
      </w:r>
      <w:r w:rsidRPr="00501C2D">
        <w:rPr>
          <w:lang w:eastAsia="it-IT" w:bidi="it-IT"/>
        </w:rPr>
        <w:t xml:space="preserve"> impegnarsi matrimonialmente, vuole impegnarsi personalmente, ma per una causa psichica non è capace di assumere quello che implica nella sua essenza la condizione di coniuge. In tal caso, il sapere e il volere di quella persona si trovano oggettivamente compromessi dal problema psichico: manca un vero sapere pratico autenticamente matrimoniale e una scelta vitale altrettanto autenticamente matrimoniale.</w:t>
      </w:r>
    </w:p>
    <w:p w14:paraId="006B4588" w14:textId="77777777" w:rsidR="00743B11" w:rsidRPr="00501C2D" w:rsidRDefault="00743B11" w:rsidP="00743B11">
      <w:pPr>
        <w:widowControl/>
        <w:rPr>
          <w:lang w:eastAsia="it-IT" w:bidi="it-IT"/>
        </w:rPr>
      </w:pPr>
      <w:r w:rsidRPr="00501C2D">
        <w:rPr>
          <w:lang w:eastAsia="it-IT" w:bidi="it-IT"/>
        </w:rPr>
        <w:t xml:space="preserve">Questa è la ragione che porta a considerare come anche l’incapacità di assumere rientri a pieno titolo — non soltanto come oggetto che deve essere possibile per colui che lo vuole — nell’atto di volontà che chiamiamo consenso matrimoniale. </w:t>
      </w:r>
    </w:p>
    <w:p w14:paraId="2E57115A" w14:textId="77777777" w:rsidR="00743B11" w:rsidRPr="00501C2D" w:rsidRDefault="00743B11" w:rsidP="00BD53CA">
      <w:pPr>
        <w:widowControl/>
        <w:rPr>
          <w:lang w:eastAsia="it-IT" w:bidi="it-IT"/>
        </w:rPr>
      </w:pPr>
      <w:r w:rsidRPr="00501C2D">
        <w:rPr>
          <w:lang w:eastAsia="it-IT" w:bidi="it-IT"/>
        </w:rPr>
        <w:t>Hervada, definendo il consenso come causa efficiente del matrimonio, afferma che esso non è «</w:t>
      </w:r>
      <w:r w:rsidRPr="00501C2D">
        <w:t xml:space="preserve">Né </w:t>
      </w:r>
      <w:r w:rsidRPr="00501C2D">
        <w:rPr>
          <w:i/>
        </w:rPr>
        <w:t>conditio sine qua non</w:t>
      </w:r>
      <w:r w:rsidRPr="00501C2D">
        <w:t xml:space="preserve">, né requisito di legittimità: causa. È questo ciò che costituisce il matrimonio, ciò che lo fonda e lo instaura, perché questa è la causa di quella </w:t>
      </w:r>
      <w:r w:rsidRPr="00501C2D">
        <w:rPr>
          <w:i/>
        </w:rPr>
        <w:t>novità</w:t>
      </w:r>
      <w:r w:rsidRPr="00501C2D">
        <w:t>, che è il matrimonio»</w:t>
      </w:r>
      <w:r w:rsidRPr="00413B75">
        <w:rPr>
          <w:rStyle w:val="Caratteredellanota"/>
          <w:vertAlign w:val="superscript"/>
        </w:rPr>
        <w:footnoteReference w:id="42"/>
      </w:r>
      <w:r w:rsidRPr="00501C2D">
        <w:t>.</w:t>
      </w:r>
      <w:r w:rsidRPr="00501C2D">
        <w:rPr>
          <w:lang w:eastAsia="it-IT" w:bidi="it-IT"/>
        </w:rPr>
        <w:t xml:space="preserve"> Tenendo conto di questa realtà, mi pare che un altro elemento per spiegare il perché dei limiti della visione che distingue tra il consenso come atto soggettivo e l’oggetto del consenso è che potrebbe sembrare che, nei casi di incapacità di assumere gli obblighi essenziali del matrimonio, nei quali ci sarebbe stato un vero consenso matrimoniale ma inefficace in quanto irrealizzabile, avremmo la causa efficiente ma non avremmo l’effetto necessario di quella causa, quasi per la mancanza di un elemento estrinseco o per l’influsso di un elemento estrinseco al consenso stesso. Ma se si riesce a capire cosa signific</w:t>
      </w:r>
      <w:r w:rsidR="00BD53CA">
        <w:rPr>
          <w:lang w:eastAsia="it-IT" w:bidi="it-IT"/>
        </w:rPr>
        <w:t>hi</w:t>
      </w:r>
      <w:r w:rsidRPr="00501C2D">
        <w:rPr>
          <w:lang w:eastAsia="it-IT" w:bidi="it-IT"/>
        </w:rPr>
        <w:t xml:space="preserve"> in tutta la sua ricchezza la classica espressione che “il consenso è la causa efficiente del matrimonio”, allora ritengo che si potrebbe dire che un consenso che non </w:t>
      </w:r>
      <w:r w:rsidR="00BD53CA">
        <w:rPr>
          <w:lang w:eastAsia="it-IT" w:bidi="it-IT"/>
        </w:rPr>
        <w:t>abbia</w:t>
      </w:r>
      <w:r w:rsidR="00BD53CA" w:rsidRPr="00501C2D">
        <w:rPr>
          <w:lang w:eastAsia="it-IT" w:bidi="it-IT"/>
        </w:rPr>
        <w:t xml:space="preserve"> </w:t>
      </w:r>
      <w:r w:rsidRPr="00501C2D">
        <w:rPr>
          <w:lang w:eastAsia="it-IT" w:bidi="it-IT"/>
        </w:rPr>
        <w:t xml:space="preserve">il potere di causare il vincolo — non mi riferisco ora alle situazioni nelle quali, per diritto positivo, un consenso naturalmente sufficiente resterebbe inefficace — non è un vero consenso, per cui si dovrebbe dire che il </w:t>
      </w:r>
      <w:r w:rsidRPr="00501C2D">
        <w:rPr>
          <w:lang w:eastAsia="it-IT" w:bidi="it-IT"/>
        </w:rPr>
        <w:lastRenderedPageBreak/>
        <w:t>consenso di chi manca della capacità naturale per assumere quello che naturalmente implica il vincolo coniugale, non è un vero consenso, né soggettivamente né oggettivamente.</w:t>
      </w:r>
    </w:p>
    <w:p w14:paraId="5D418435" w14:textId="77777777" w:rsidR="00743B11" w:rsidRPr="00501C2D" w:rsidRDefault="00743B11" w:rsidP="00743B11">
      <w:pPr>
        <w:widowControl/>
      </w:pPr>
      <w:r w:rsidRPr="00501C2D">
        <w:t xml:space="preserve">Tornando alla questione del significato del verbo </w:t>
      </w:r>
      <w:r w:rsidRPr="00501C2D">
        <w:rPr>
          <w:i/>
        </w:rPr>
        <w:t>assumere</w:t>
      </w:r>
      <w:r w:rsidRPr="00501C2D">
        <w:t xml:space="preserve"> e alla sua collocazione all’interno dell’atto di volontà come atto della persona, non soltanto come quello che costituisce l’oggetto dell’atto soggettivo di volontà, ci sono delle parole di Hervada che, a mio parere, spiegano con molta chiarezza la relazione inscindibile tra la discrezione di giudizio, il volere come </w:t>
      </w:r>
      <w:r w:rsidRPr="00501C2D">
        <w:rPr>
          <w:i/>
        </w:rPr>
        <w:t>voluntarium</w:t>
      </w:r>
      <w:r w:rsidRPr="00501C2D">
        <w:t xml:space="preserve"> e la capacità per assumere quello che si vuole: «Volere l’altro come coniuge, che è l’atto di consentire, implica assumere rispetto a questi taluni doveri specifici. Orbene, se realmente si danno simili anomalie, mi sembra chiaro che rendano incapace ad assumere l’altro come coniuge, perché, a meno di confondere il </w:t>
      </w:r>
      <w:r w:rsidRPr="00501C2D">
        <w:rPr>
          <w:i/>
        </w:rPr>
        <w:t>volitum</w:t>
      </w:r>
      <w:r w:rsidRPr="00501C2D">
        <w:t xml:space="preserve"> con il </w:t>
      </w:r>
      <w:r w:rsidRPr="00501C2D">
        <w:rPr>
          <w:i/>
        </w:rPr>
        <w:t>voluntarium</w:t>
      </w:r>
      <w:r w:rsidRPr="00501C2D">
        <w:t xml:space="preserve"> (ossia, quanto è desiderato — anche ardentemente — con la volontà, con ciò che è efficacemente voluto), non sembra che si possa avere un atto volontario di volere l’altro come coniuge, se la ragione non è capace di dirigere la volontà, e questa è incapace ad adempiere le obbligazioni che apparentemente si assumono. In questo caso, il volere i doveri coniugali è un volere inefficace, che non trapassa i confini del </w:t>
      </w:r>
      <w:r w:rsidRPr="00501C2D">
        <w:rPr>
          <w:i/>
        </w:rPr>
        <w:t>volitum</w:t>
      </w:r>
      <w:r w:rsidRPr="00501C2D">
        <w:t xml:space="preserve">, e pertanto l’atto di assumere l’altro come sposo non è un vero </w:t>
      </w:r>
      <w:r w:rsidRPr="00501C2D">
        <w:rPr>
          <w:i/>
        </w:rPr>
        <w:t>voluntarium»</w:t>
      </w:r>
      <w:r w:rsidRPr="00413B75">
        <w:rPr>
          <w:rStyle w:val="Caratteredellanota"/>
          <w:vertAlign w:val="superscript"/>
        </w:rPr>
        <w:footnoteReference w:id="43"/>
      </w:r>
      <w:r w:rsidRPr="00501C2D">
        <w:t>.</w:t>
      </w:r>
    </w:p>
    <w:p w14:paraId="3579DAC8" w14:textId="77777777" w:rsidR="00743B11" w:rsidRPr="00501C2D" w:rsidRDefault="00743B11" w:rsidP="00743B11">
      <w:pPr>
        <w:widowControl/>
      </w:pPr>
      <w:r w:rsidRPr="00501C2D">
        <w:t>Alla luce di quanto ho detto, ritengo che una corretta comprensione del significato dell’atto di volontà e della sua struttura ci possa servire per inquadrare adeguatamente le diverse fattispecie di incapacità consensuale. Da una parte, una comprensione troppo intellettualistica della discrezione di giudizio, ha creato non poche difficoltà per qualificare giuridicamente diverse situazioni nelle quali si vedeva chiaramente che una persona non era capace per il matrimonio malgrado potesse capire perfettamente che cosa è il matrimonio e volesse impegnarsi. Questo è uno dei principali motivi dello sviluppo della giurisprudenza che alla fine ha dato luogo al terzo comma del canone 1095. Ma, dall’altra parte, ritengo che resti ancora aperta la questione del preciso significato del testo codiciale, sia per quanto riguarda il difetto grave della discrezione di giudizio che per quanto concerne l’incapacità di assumere, come ha dimostrato l’esperienza in questi trent’anni di applicazione della fattispecie legale, che hanno richiesto continui interventi chiarificatori del legislatore. In questo senso, almeno alla luce della legislazione in vigore, ritengo che un’adeguata interpretazione di questi due commi del canone 1095 dovrebbe tener conto della relazione inscindibile che esiste tra di essi.</w:t>
      </w:r>
    </w:p>
    <w:p w14:paraId="1ECAEDA5" w14:textId="77777777" w:rsidR="00743B11" w:rsidRPr="00501C2D" w:rsidRDefault="00743B11" w:rsidP="00743B11">
      <w:pPr>
        <w:widowControl/>
      </w:pPr>
      <w:r w:rsidRPr="00501C2D">
        <w:t>Anzi, ritengo che entrambi i commi riguardino la capacità per il consenso come atto volontario della persona, se lo intendiamo come atto di volontà efficace (</w:t>
      </w:r>
      <w:r w:rsidRPr="00501C2D">
        <w:rPr>
          <w:i/>
        </w:rPr>
        <w:t>voluntarium</w:t>
      </w:r>
      <w:r w:rsidRPr="00501C2D">
        <w:t>), vale a dire, come causa efficiente che, se esiste, allora necessariamente produce il suo effetto, a meno che esista un ostacolo di diritto positivo, come l’inosservanza della forma o un impedimento non dispensato. Essendo la capacità determinata dalla natura, non possiamo dire che esista un vero consenso se esso non crea il vincolo.</w:t>
      </w:r>
    </w:p>
    <w:p w14:paraId="6A0B9540" w14:textId="77777777" w:rsidR="00743B11" w:rsidRPr="00501C2D" w:rsidRDefault="00743B11" w:rsidP="00743B11">
      <w:pPr>
        <w:widowControl/>
      </w:pPr>
      <w:r w:rsidRPr="00501C2D">
        <w:t xml:space="preserve">Questo consenso naturalmente sufficiente, e la capacità per dare questo consenso, implica intrinsecamente la discrezione di giudizio e la capacità di assumere quello che, per esigenze di natura, è il suo oggetto. Da questa prospettiva, mi pare che sarebbe più </w:t>
      </w:r>
      <w:r w:rsidRPr="00501C2D">
        <w:lastRenderedPageBreak/>
        <w:t xml:space="preserve">facile non soltanto capire che cosa significa dal punto di vista del diritto naturale la discrezione di giudizio del secondo numero del canone e la capacità di assumere del terzo, ma si riuscirebbe a comprendere in tutta la sua ricchezza e semplicità l’unitarietà del consenso, evitando in questo modo un rischio, spesso presente nell’interpretazione del canone 1095: quello di concepire in modo autonomo, come se fossero tre capacità diverse, le tre dimensioni dell’unica capacità per il consenso che il legislatore ha tentato di tradurre, tenendo conto della struttura dell’atto volontario della persona, nei tre numeri del canone. Questa dimensione unitaria della capacità, che per la sua stessa natura implica l’uso della ragione, la discrezione di giudizio e la reale possibilità di assumere nel consenso la condizione coniugale nei suoi elementi giuridici essenziali, si rispecchia bene nelle seguenti parole di Hervada e Lombardia, in uno scritto che precede di qualche anno la promulgazione del Codice: «È ovvio che per prendere la decisione valida di sposarsi sia necessario poter conoscere cosa è il matrimonio, ma il nucleo costitutivo della sufficiente discrezione di giudizio non è questa capacità intellettiva (certamente necessaria), bensì la capacità dell’atto di </w:t>
      </w:r>
      <w:r w:rsidRPr="00501C2D">
        <w:rPr>
          <w:i/>
        </w:rPr>
        <w:t>imperium</w:t>
      </w:r>
      <w:r w:rsidRPr="00501C2D">
        <w:t xml:space="preserve"> della ragion pratica, in quanto è capace di regolare la volontà (e con quella l’affettività) e di orientarla verso una decisione che impegna il futuro personale. Di conseguenza, l’uso di ragione richiesto non è solo l’uso della ragione speculativa — benché si richieda anche questa —, ma in particolare l’uso della ragion pratica. È quindi questione di capacità di riflettere e di decidere»</w:t>
      </w:r>
      <w:r w:rsidRPr="00413B75">
        <w:rPr>
          <w:rStyle w:val="Caratteredellanota"/>
          <w:vertAlign w:val="superscript"/>
        </w:rPr>
        <w:footnoteReference w:id="44"/>
      </w:r>
      <w:r w:rsidRPr="00501C2D">
        <w:t>.</w:t>
      </w:r>
    </w:p>
    <w:p w14:paraId="5969AEEF" w14:textId="77777777" w:rsidR="00743B11" w:rsidRPr="00501C2D" w:rsidRDefault="00743B11" w:rsidP="00743B11">
      <w:pPr>
        <w:widowControl/>
      </w:pPr>
      <w:r w:rsidRPr="00501C2D">
        <w:t xml:space="preserve">Inoltre, </w:t>
      </w:r>
      <w:r w:rsidR="004730F6">
        <w:t>ad ogni</w:t>
      </w:r>
      <w:r w:rsidRPr="00501C2D">
        <w:t xml:space="preserve"> modo, Hervada identifica la capacità per contrarre il matrimonio con la discrezione di giudizio, non negando che l’incapacità di assumere gli obblighi essenziali del matrimonio sia rilevante agli effetti della capacità giuridica minima, ma intendendo, seppur implicitamente, che chi non può, al momento di celebrare il matrimonio, assumere qualcosa che appartiene all’essenza giuridica del matrimonio, non avrebbe la necessaria discrezione di giudizio per il matrimonio: «I requisiti di capacità sono determinati dalla discrezione di giudizio, ossia da quel minimo di maturità nella capacità intellettivo-volitiva in forza della quale il soggetto diventa capace ad impegnarsi validamente con una decisione che investe il futuro»</w:t>
      </w:r>
      <w:r w:rsidRPr="00413B75">
        <w:rPr>
          <w:rStyle w:val="Caratteredellanota"/>
          <w:vertAlign w:val="superscript"/>
        </w:rPr>
        <w:footnoteReference w:id="45"/>
      </w:r>
      <w:r w:rsidRPr="00501C2D">
        <w:t>. Facendo uno sforzo per spiegare il meccanismo psicologico che porta all’incapacità per il consenso, lo stesso autore afferma: «Ritengo che, se si tiene conto di questo aspetto, si potrà giungere ad un più essenziale inquadramento dell’incapacità per mancanza di sufficiente discrezione nei casi di anomalie della volontà. Molte di queste ipotesi, senza incidere sulla ragione speculativa, incidono sulla ragion pratica, incapace di dominare con il suo autocontrollo gli impulsi della volontà. Le anomalie della volontà sono solitamente conseguenza di anomalie della ragion pratica»</w:t>
      </w:r>
      <w:r w:rsidRPr="00413B75">
        <w:rPr>
          <w:rStyle w:val="Caratteredellanota"/>
          <w:vertAlign w:val="superscript"/>
        </w:rPr>
        <w:footnoteReference w:id="46"/>
      </w:r>
      <w:r w:rsidRPr="00501C2D">
        <w:t>.</w:t>
      </w:r>
    </w:p>
    <w:p w14:paraId="4668FC3D" w14:textId="77777777" w:rsidR="00743B11" w:rsidRPr="00501C2D" w:rsidRDefault="00743B11" w:rsidP="00743B11">
      <w:pPr>
        <w:widowControl/>
      </w:pPr>
      <w:r w:rsidRPr="00501C2D">
        <w:t xml:space="preserve">Un altro aspetto molto importante, molte volte ricordato dallo stesso autore, è che il matrimonio non è la vita matrimoniale, ma sono le due persone unite nella loro coniugalità. Può sembrare ovvio, ma mi pare che tante volte si dimentichi nel tentativo di definire l’incapacità per assumere, la quale viene determinata non alla luce del vincolo ma alla luce della vita matrimoniale, vale a dire, come se la capacità fosse </w:t>
      </w:r>
      <w:r w:rsidRPr="00501C2D">
        <w:lastRenderedPageBreak/>
        <w:t>capacità per vivere la vita matrimoniale e non capacità per creare o fondare il vincolo matrimoniale. Sarebbe, in fondo, quello che Tejero chiama nella sua monografia sul canone 1095 “incapacità/impossibilità”</w:t>
      </w:r>
      <w:r w:rsidRPr="00413B75">
        <w:rPr>
          <w:rStyle w:val="Caratteredellanota"/>
          <w:vertAlign w:val="superscript"/>
        </w:rPr>
        <w:footnoteReference w:id="47"/>
      </w:r>
      <w:r w:rsidRPr="00501C2D">
        <w:t xml:space="preserve"> e non l’incapacità di assumere anziché di compiere. Dice Hervada: «I vizi del consenso matrimoniale per incapacità ad assumere gli obblighi matrimoniali discendono da patologie psichiche che impediscono di impegnarsi, non dalla mancanza di virtù, da cattiva disposizione di volontà»</w:t>
      </w:r>
      <w:r w:rsidRPr="00413B75">
        <w:rPr>
          <w:rStyle w:val="Caratteredellanota"/>
          <w:vertAlign w:val="superscript"/>
        </w:rPr>
        <w:footnoteReference w:id="48"/>
      </w:r>
      <w:r w:rsidRPr="00501C2D">
        <w:t>.</w:t>
      </w:r>
    </w:p>
    <w:p w14:paraId="44A17BD6" w14:textId="77777777" w:rsidR="00743B11" w:rsidRPr="00501C2D" w:rsidRDefault="00743B11" w:rsidP="00743B11">
      <w:pPr>
        <w:widowControl/>
      </w:pPr>
      <w:r w:rsidRPr="00501C2D">
        <w:t>È chiaro che ci saranno sempre diversi pareri in ambito dottrinale e nelle spiegazioni scientifiche della fattispecie legale. In questo senso, in molte sentenze della Rota Romana si vede la saggezza dello scienziato e la prudenza del giudice che deve applicare le norme. In molte di esse emerge quella prudenza del giudice, che tenta di capire il senso reale della norma che deve applicare, tenendo anche conto del fatto che la giurisprudenza non è l’ambito usuale per modificare la legge vigente, ma per la sua retta interpretazione ed applicazione, alla luce del diritto divino sul matrimonio.</w:t>
      </w:r>
    </w:p>
    <w:p w14:paraId="0218AC1E" w14:textId="77777777" w:rsidR="00743B11" w:rsidRPr="00501C2D" w:rsidRDefault="00743B11" w:rsidP="00743B11">
      <w:pPr>
        <w:widowControl/>
        <w:rPr>
          <w:szCs w:val="24"/>
        </w:rPr>
      </w:pPr>
      <w:r w:rsidRPr="00501C2D">
        <w:rPr>
          <w:szCs w:val="24"/>
        </w:rPr>
        <w:t xml:space="preserve">La giurisprudenza rotale segue indirizzi abbastanza chiari e costanti per quanto riguarda i temi che ho qualificato come </w:t>
      </w:r>
      <w:r w:rsidRPr="00501C2D">
        <w:rPr>
          <w:i/>
          <w:szCs w:val="24"/>
        </w:rPr>
        <w:t>quaestiones disputatae</w:t>
      </w:r>
      <w:r w:rsidRPr="00501C2D">
        <w:rPr>
          <w:szCs w:val="24"/>
        </w:rPr>
        <w:t>: l’immaturità affettiva, il difetto di libertà interna e l’incapacità relativa. Per quanto riguarda la divisione del can. 1095 nei suoi tre numeri, la giurisprudenza rotale non è solita porsi problemi sulla struttura del canone, il che non toglie che in ambito dottrinale possiamo continuare a chiederci se la norma positiva abbia o meno espresso con sufficiente chiarezza e precisione le esigenze naturali del consenso matrimoniale o se, invece, non sarebbe conveniente proporre una modifica della legislazione che renda più precisa questa norma che, sin dalla sua promulgazione, ha richiesto costanti chiarimenti da parte della dottrina, della giurisprudenza e del magistero ecclesiastico. Per questi motivi, concluderò il mio intervento con una valutazione sull’opportunità di qualche modifica del testo legale e in quale misura essa potrebbe essere portata avanti.</w:t>
      </w:r>
    </w:p>
    <w:p w14:paraId="078FB98B" w14:textId="77777777" w:rsidR="00743B11" w:rsidRPr="00501C2D" w:rsidRDefault="00743B11" w:rsidP="00743B11">
      <w:pPr>
        <w:widowControl/>
        <w:rPr>
          <w:b/>
          <w:szCs w:val="24"/>
        </w:rPr>
      </w:pPr>
      <w:r w:rsidRPr="00501C2D">
        <w:rPr>
          <w:b/>
          <w:szCs w:val="24"/>
        </w:rPr>
        <w:t xml:space="preserve">4. Alcune proposte </w:t>
      </w:r>
      <w:r w:rsidRPr="00501C2D">
        <w:rPr>
          <w:b/>
          <w:i/>
          <w:szCs w:val="24"/>
        </w:rPr>
        <w:t>de iure condendo</w:t>
      </w:r>
      <w:r w:rsidRPr="00501C2D">
        <w:rPr>
          <w:b/>
          <w:szCs w:val="24"/>
        </w:rPr>
        <w:t xml:space="preserve"> alla luce dell’esperienza di trent’anni di applicazione del canone 1095</w:t>
      </w:r>
    </w:p>
    <w:p w14:paraId="2FCDB748" w14:textId="77777777" w:rsidR="00743B11" w:rsidRPr="00501C2D" w:rsidRDefault="00743B11" w:rsidP="00743B11">
      <w:pPr>
        <w:pStyle w:val="n"/>
        <w:widowControl/>
        <w:rPr>
          <w:lang w:val="it-IT"/>
        </w:rPr>
      </w:pPr>
      <w:r w:rsidRPr="00501C2D">
        <w:rPr>
          <w:lang w:val="it-IT"/>
        </w:rPr>
        <w:t>Prima di presentare diverse proposte di riforma del canone 1095, mi sembra necessario fare qualche premessa per capire perché ritengo che sia necessaria una riforma. Queste premesse sono molto legate all’intreccio che, nel diritto matrimoniale, esiste tra il diritto divino e il diritto umano.</w:t>
      </w:r>
    </w:p>
    <w:p w14:paraId="01FD0EF5" w14:textId="77777777" w:rsidR="00743B11" w:rsidRPr="00501C2D" w:rsidRDefault="00743B11" w:rsidP="00743B11">
      <w:pPr>
        <w:pStyle w:val="n"/>
        <w:widowControl/>
        <w:rPr>
          <w:i/>
          <w:lang w:val="it-IT"/>
        </w:rPr>
      </w:pPr>
      <w:r w:rsidRPr="00501C2D">
        <w:rPr>
          <w:lang w:val="it-IT"/>
        </w:rPr>
        <w:t>4.1.</w:t>
      </w:r>
      <w:r w:rsidRPr="00501C2D">
        <w:rPr>
          <w:i/>
          <w:lang w:val="it-IT"/>
        </w:rPr>
        <w:t xml:space="preserve"> Premessa</w:t>
      </w:r>
    </w:p>
    <w:p w14:paraId="64336E02" w14:textId="77777777" w:rsidR="00743B11" w:rsidRPr="00501C2D" w:rsidRDefault="00743B11" w:rsidP="00743B11">
      <w:pPr>
        <w:pStyle w:val="n"/>
        <w:widowControl/>
        <w:rPr>
          <w:lang w:val="it-IT"/>
        </w:rPr>
      </w:pPr>
      <w:r w:rsidRPr="00501C2D">
        <w:rPr>
          <w:lang w:val="it-IT"/>
        </w:rPr>
        <w:t xml:space="preserve">Durante i lavori di redazione del Codice del 1917, in una discussione sul canone riguardante l’impotenza, Gasparri affermò in un suo intervento presso la Congregazione dei Cardinali: «la Chiesa non può impedire </w:t>
      </w:r>
      <w:r w:rsidRPr="00501C2D">
        <w:rPr>
          <w:i/>
          <w:lang w:val="it-IT"/>
        </w:rPr>
        <w:t>pure et simpliciter</w:t>
      </w:r>
      <w:r w:rsidRPr="00501C2D">
        <w:rPr>
          <w:lang w:val="it-IT"/>
        </w:rPr>
        <w:t xml:space="preserve"> e in modo assoluto il matrimonio ad una persona abile </w:t>
      </w:r>
      <w:r w:rsidRPr="00501C2D">
        <w:rPr>
          <w:i/>
          <w:lang w:val="it-IT"/>
        </w:rPr>
        <w:t>iure naturae</w:t>
      </w:r>
      <w:r w:rsidRPr="00501C2D">
        <w:rPr>
          <w:lang w:val="it-IT"/>
        </w:rPr>
        <w:t>, essendo il matrimonio un diritto di natura. Essa può moderare questo diritto, escludendo per esempio il matrimonio con persona consanguinea, ma non può condannare per sempre una persona al celibato. Onde nel caso la Chiesa potrebbe soltanto dichiarare il diritto naturale»</w:t>
      </w:r>
      <w:r w:rsidRPr="00501C2D">
        <w:rPr>
          <w:rStyle w:val="Rimandonotaapidipagina"/>
          <w:lang w:val="it-IT"/>
        </w:rPr>
        <w:footnoteReference w:id="49"/>
      </w:r>
      <w:r w:rsidRPr="00501C2D">
        <w:rPr>
          <w:lang w:val="it-IT"/>
        </w:rPr>
        <w:t xml:space="preserve">. Penso che </w:t>
      </w:r>
      <w:r w:rsidRPr="00501C2D">
        <w:rPr>
          <w:lang w:val="it-IT"/>
        </w:rPr>
        <w:lastRenderedPageBreak/>
        <w:t>queste parole di Gasparri riguardo ai limiti del legislatore ecclesiastico nella dichiarazione di quello che è esigenza del diritto naturale, siano molto attuali per quanto riguarda l’interpretazione ed applicazione del canone 1095, in quanto è — e non può non esserlo — una specificazione o formalizzazione delle esigenze naturali del consenso matrimoniale.</w:t>
      </w:r>
    </w:p>
    <w:p w14:paraId="2410303D" w14:textId="77777777" w:rsidR="00743B11" w:rsidRPr="00501C2D" w:rsidRDefault="00743B11" w:rsidP="00743B11">
      <w:pPr>
        <w:pStyle w:val="n"/>
        <w:widowControl/>
        <w:rPr>
          <w:lang w:val="it-IT"/>
        </w:rPr>
      </w:pPr>
      <w:r w:rsidRPr="00501C2D">
        <w:rPr>
          <w:lang w:val="it-IT"/>
        </w:rPr>
        <w:t xml:space="preserve">Infatti, uno degli ambiti nei quali nell’odierna applicazione dell’ordinamento canonico si corre il rischio di non operare in modo conforme alle esigenze di giustizia che derivano dalla stessa natura della persona umana sessuata che si vuole donare coniugalmente, quindi nel rispetto del diritto divino sul matrimonio, è quello dell’applicazione del canone 1095, nella misura in cui un’inadeguata comprensione della norma porti ad una concezione della capacità come qualcosa che non si presume in ogni contraente, perché si </w:t>
      </w:r>
      <w:r w:rsidR="00BD53CA">
        <w:rPr>
          <w:lang w:val="it-IT"/>
        </w:rPr>
        <w:t>utilizza</w:t>
      </w:r>
      <w:r w:rsidR="00BD53CA" w:rsidRPr="00501C2D">
        <w:rPr>
          <w:lang w:val="it-IT"/>
        </w:rPr>
        <w:t xml:space="preserve"> </w:t>
      </w:r>
      <w:r w:rsidRPr="00501C2D">
        <w:rPr>
          <w:lang w:val="it-IT"/>
        </w:rPr>
        <w:t xml:space="preserve">come </w:t>
      </w:r>
      <w:r w:rsidR="00BD53CA">
        <w:rPr>
          <w:lang w:val="it-IT"/>
        </w:rPr>
        <w:t>punto di riferimento</w:t>
      </w:r>
      <w:r w:rsidR="00BD53CA" w:rsidRPr="00501C2D">
        <w:rPr>
          <w:lang w:val="it-IT"/>
        </w:rPr>
        <w:t xml:space="preserve"> </w:t>
      </w:r>
      <w:r w:rsidRPr="00501C2D">
        <w:rPr>
          <w:lang w:val="it-IT"/>
        </w:rPr>
        <w:t>una nozione più ideale che realistica del matrimonio</w:t>
      </w:r>
      <w:r w:rsidRPr="00501C2D">
        <w:rPr>
          <w:rStyle w:val="Rimandonotaapidipagina"/>
          <w:lang w:val="it-IT"/>
        </w:rPr>
        <w:footnoteReference w:id="50"/>
      </w:r>
      <w:r w:rsidRPr="00501C2D">
        <w:rPr>
          <w:lang w:val="it-IT"/>
        </w:rPr>
        <w:t>.</w:t>
      </w:r>
    </w:p>
    <w:p w14:paraId="1C175D5E" w14:textId="77777777" w:rsidR="00743B11" w:rsidRPr="00501C2D" w:rsidRDefault="00743B11" w:rsidP="00743B11">
      <w:pPr>
        <w:pStyle w:val="n"/>
        <w:widowControl/>
        <w:rPr>
          <w:lang w:val="it-IT"/>
        </w:rPr>
      </w:pPr>
      <w:r w:rsidRPr="00501C2D">
        <w:rPr>
          <w:lang w:val="it-IT"/>
        </w:rPr>
        <w:t>Per la stessa natura del matrimonio e del consenso matrimoniale, per celebrare il matrimonio, si richiedono delle condizioni precise, che indicano quello che il legislatore ha chiamato requisiti di capacità e di abilità. Conseguenza di queste esigenze naturali sono il canone che si riferisce all’incapacità per contrarre matrimonio (can. 1095) e molti dei canoni sugli impedimenti, in particolare quelli che riguardano divieti fondati sul diritto divino</w:t>
      </w:r>
      <w:r w:rsidRPr="00501C2D">
        <w:rPr>
          <w:rStyle w:val="Rimandonotaapidipagina"/>
          <w:lang w:val="it-IT"/>
        </w:rPr>
        <w:footnoteReference w:id="51"/>
      </w:r>
      <w:r w:rsidRPr="00501C2D">
        <w:rPr>
          <w:lang w:val="it-IT"/>
        </w:rPr>
        <w:t>.</w:t>
      </w:r>
    </w:p>
    <w:p w14:paraId="4765A462" w14:textId="77777777" w:rsidR="00743B11" w:rsidRPr="00501C2D" w:rsidRDefault="00743B11" w:rsidP="00743B11">
      <w:pPr>
        <w:pStyle w:val="n"/>
        <w:widowControl/>
        <w:rPr>
          <w:lang w:val="it-IT"/>
        </w:rPr>
      </w:pPr>
      <w:r w:rsidRPr="00501C2D">
        <w:rPr>
          <w:lang w:val="it-IT"/>
        </w:rPr>
        <w:t xml:space="preserve">Parlando del canone 1095, è interessante constatare come sin dai primi momenti della sua redazione, tra i consultori del </w:t>
      </w:r>
      <w:r w:rsidRPr="00501C2D">
        <w:rPr>
          <w:i/>
          <w:lang w:val="it-IT"/>
        </w:rPr>
        <w:t>Coetus</w:t>
      </w:r>
      <w:r w:rsidRPr="00501C2D">
        <w:rPr>
          <w:lang w:val="it-IT"/>
        </w:rPr>
        <w:t xml:space="preserve"> «De matrimonio», ci fu la preoccupazione di non fare una norma che chiedesse più di quello che esige la natura per contrarre il matrimonio. In una delle prime discussioni sull’inclusione o meno di un canone sull’incapacità di assumere gli obblighi essenziali del matrimonio, fatta nella sessione III, </w:t>
      </w:r>
      <w:r w:rsidRPr="00501C2D">
        <w:rPr>
          <w:i/>
          <w:lang w:val="it-IT"/>
        </w:rPr>
        <w:t>Adunatio</w:t>
      </w:r>
      <w:r w:rsidRPr="00501C2D">
        <w:rPr>
          <w:lang w:val="it-IT"/>
        </w:rPr>
        <w:t xml:space="preserve"> IV del 14 novembre 1967</w:t>
      </w:r>
      <w:r w:rsidRPr="00501C2D">
        <w:rPr>
          <w:vertAlign w:val="superscript"/>
          <w:lang w:val="it-IT"/>
        </w:rPr>
        <w:footnoteReference w:id="52"/>
      </w:r>
      <w:r w:rsidRPr="00501C2D">
        <w:rPr>
          <w:lang w:val="it-IT"/>
        </w:rPr>
        <w:t>, uno dei consultori ebbe il dubbio se, con questo nuovo canone, non si limitasse l’esercizio di un diritto naturale: «L’eccellentissimo terzo Consultore pensa che queste incapacità di cui si parla non rientrano nelle classiche nozioni di impotenza né di difetto del consenso. Quindi, con questa norma si introdurrebbe un nuovo impedimento che restringe il diritto naturale al matrimonio. È per tanto necessario studiare con attenzione se questo nuovo impedimento veramente abbia il suo fondamento nella stessa natura del matrimonio»</w:t>
      </w:r>
      <w:r w:rsidRPr="00501C2D">
        <w:rPr>
          <w:vertAlign w:val="superscript"/>
          <w:lang w:val="it-IT"/>
        </w:rPr>
        <w:footnoteReference w:id="53"/>
      </w:r>
      <w:r w:rsidRPr="00501C2D">
        <w:rPr>
          <w:lang w:val="it-IT"/>
        </w:rPr>
        <w:t>.</w:t>
      </w:r>
    </w:p>
    <w:p w14:paraId="21601726" w14:textId="77777777" w:rsidR="00743B11" w:rsidRPr="00501C2D" w:rsidRDefault="00743B11" w:rsidP="00743B11">
      <w:pPr>
        <w:pStyle w:val="n"/>
        <w:widowControl/>
        <w:rPr>
          <w:lang w:val="it-IT"/>
        </w:rPr>
      </w:pPr>
      <w:r w:rsidRPr="00501C2D">
        <w:rPr>
          <w:lang w:val="it-IT"/>
        </w:rPr>
        <w:t>Si propose quindi che la discussione su</w:t>
      </w:r>
      <w:r w:rsidR="00FF75D8">
        <w:rPr>
          <w:lang w:val="it-IT"/>
        </w:rPr>
        <w:t xml:space="preserve"> questo canone constasse in atti</w:t>
      </w:r>
      <w:r w:rsidRPr="00501C2D">
        <w:rPr>
          <w:lang w:val="it-IT"/>
        </w:rPr>
        <w:t xml:space="preserve"> e fosse inviata ad una commissione di esperti affinché valutassero la convenienza di legiferare o meno sull’incapacità consensuale, cosa che successivamente venne fatta e diede luogo al canone 1095. Ritengo che questa preoccupazione di coloro che hanno lavorato nei due processi di preparazione del Codice per non limitare l’esercizio dello </w:t>
      </w:r>
      <w:r w:rsidRPr="00501C2D">
        <w:rPr>
          <w:i/>
          <w:lang w:val="it-IT"/>
        </w:rPr>
        <w:t>ius connubii</w:t>
      </w:r>
      <w:r w:rsidRPr="00501C2D">
        <w:rPr>
          <w:lang w:val="it-IT"/>
        </w:rPr>
        <w:t xml:space="preserve"> </w:t>
      </w:r>
      <w:r w:rsidRPr="00501C2D">
        <w:rPr>
          <w:lang w:val="it-IT"/>
        </w:rPr>
        <w:lastRenderedPageBreak/>
        <w:t>laddove la natura non lo limita sia, e dovrebbe sempre essere, un criterio di cui tener conto al momento di interpretare e di applicare il canone 1095</w:t>
      </w:r>
      <w:r w:rsidRPr="00501C2D">
        <w:rPr>
          <w:vertAlign w:val="superscript"/>
          <w:lang w:val="it-IT"/>
        </w:rPr>
        <w:footnoteReference w:id="54"/>
      </w:r>
      <w:r w:rsidRPr="00501C2D">
        <w:rPr>
          <w:lang w:val="it-IT"/>
        </w:rPr>
        <w:t>.</w:t>
      </w:r>
    </w:p>
    <w:p w14:paraId="7E64D495" w14:textId="77777777" w:rsidR="00743B11" w:rsidRPr="00501C2D" w:rsidRDefault="00743B11" w:rsidP="00743B11">
      <w:pPr>
        <w:pStyle w:val="n"/>
        <w:widowControl/>
        <w:rPr>
          <w:lang w:val="it-IT"/>
        </w:rPr>
      </w:pPr>
      <w:r w:rsidRPr="00501C2D">
        <w:rPr>
          <w:lang w:val="it-IT"/>
        </w:rPr>
        <w:t xml:space="preserve">Perciò, alla luce dello </w:t>
      </w:r>
      <w:r w:rsidRPr="00501C2D">
        <w:rPr>
          <w:i/>
          <w:lang w:val="it-IT"/>
        </w:rPr>
        <w:t>ius divinum</w:t>
      </w:r>
      <w:r w:rsidRPr="00501C2D">
        <w:rPr>
          <w:lang w:val="it-IT"/>
        </w:rPr>
        <w:t>, ritengo che sia necessario un approfondimento sul significato naturale dell’incapacità consensuale, in modo di averne una retta comprensione</w:t>
      </w:r>
      <w:r w:rsidRPr="00501C2D">
        <w:rPr>
          <w:rStyle w:val="Rimandonotaapidipagina"/>
          <w:lang w:val="it-IT"/>
        </w:rPr>
        <w:footnoteReference w:id="55"/>
      </w:r>
      <w:r w:rsidRPr="00501C2D">
        <w:rPr>
          <w:lang w:val="it-IT"/>
        </w:rPr>
        <w:t>. Invece, alcune interpretazioni del canone 1095, che hanno il loro fondamento in una visione troppo perfetta del matrimonio e della libertà umana, possono portare ad una visione smisuratamente esigente e perfezionistica della capacità per il matrimonio, confondendo il minimo necessario per il matrimonio con l’ideale per un sicuro esito positivo della relazione che si instaura con il consenso, senza distinguere tra la vera incapacità e le difficoltà, talvolta gravi, che potrebbero esserci nel caso concreto</w:t>
      </w:r>
      <w:r w:rsidRPr="00501C2D">
        <w:rPr>
          <w:rStyle w:val="Rimandonotaapidipagina"/>
          <w:lang w:val="it-IT"/>
        </w:rPr>
        <w:footnoteReference w:id="56"/>
      </w:r>
      <w:r w:rsidRPr="00501C2D">
        <w:rPr>
          <w:lang w:val="it-IT"/>
        </w:rPr>
        <w:t>. Non possiamo confondere difficoltà con incapacità, anche perché le difficoltà, con l’aiuto della lotta personale e della grazia divina, possono essere superate. In questo senso, sono di grande importanza i discorsi di Giovanni Paolo II al Tribunale della Rota Romana, soprattutto quelli degli anni 1987, 1988 e 1997, nei quali si fa una netta distinzione tra impossibilità e difficoltà, normalità canonica e normalità psichiatrica, matrimonio valido e matrimonio ideale, libertà reale e libertà assoluta</w:t>
      </w:r>
      <w:r w:rsidRPr="00501C2D">
        <w:rPr>
          <w:rStyle w:val="Rimandonotaapidipagina"/>
          <w:lang w:val="it-IT"/>
        </w:rPr>
        <w:footnoteReference w:id="57"/>
      </w:r>
      <w:r w:rsidRPr="00501C2D">
        <w:rPr>
          <w:lang w:val="it-IT"/>
        </w:rPr>
        <w:t>. Anche di grande importanza al riguardo è il discorso di Benedetto XVI del 2009, dedicato quasi interamente al canone sull’incapacità</w:t>
      </w:r>
      <w:r w:rsidRPr="00501C2D">
        <w:rPr>
          <w:rStyle w:val="Rimandonotaapidipagina"/>
          <w:lang w:val="it-IT"/>
        </w:rPr>
        <w:footnoteReference w:id="58"/>
      </w:r>
      <w:r w:rsidRPr="00501C2D">
        <w:rPr>
          <w:lang w:val="it-IT"/>
        </w:rPr>
        <w:t xml:space="preserve">. Cito, al riguardo, le parole di Giovanni Paolo II nel suo discorso alla Rota del 1997: «Questa realtà essenziale è una possibilità aperta in linea di principio ad ogni uomo e ad ogni donna; anzi, essa rappresenta un vero cammino vocazionale per la stragrande maggioranza dell’umanità. Ne consegue che, nella valutazione della capacità o dell’atto del consenso necessari alla celebrazione di un valido matrimonio, non si può esigere ciò che non è possibile richiedere alla generalità delle persone. Non si tratta di minimalismo pragmatico o di comodo, ma di una </w:t>
      </w:r>
      <w:r w:rsidRPr="00501C2D">
        <w:rPr>
          <w:i/>
          <w:lang w:val="it-IT"/>
        </w:rPr>
        <w:t>visione realistica della persona umana,</w:t>
      </w:r>
      <w:r w:rsidRPr="00501C2D">
        <w:rPr>
          <w:lang w:val="it-IT"/>
        </w:rPr>
        <w:t xml:space="preserve"> quale realtà sempre in </w:t>
      </w:r>
      <w:r w:rsidRPr="00501C2D">
        <w:rPr>
          <w:lang w:val="it-IT"/>
        </w:rPr>
        <w:lastRenderedPageBreak/>
        <w:t>crescita, chiamata ad operare scelte responsabili con le sue potenzialità iniziali, arricchendole sempre di più con il proprio impegno e con l’aiuto della grazia»</w:t>
      </w:r>
      <w:r w:rsidRPr="00501C2D">
        <w:rPr>
          <w:rStyle w:val="Rimandonotaapidipagina"/>
          <w:lang w:val="it-IT"/>
        </w:rPr>
        <w:footnoteReference w:id="59"/>
      </w:r>
      <w:r w:rsidRPr="00501C2D">
        <w:rPr>
          <w:lang w:val="it-IT"/>
        </w:rPr>
        <w:t>.</w:t>
      </w:r>
    </w:p>
    <w:p w14:paraId="7D3C58C7" w14:textId="77777777" w:rsidR="00743B11" w:rsidRPr="00501C2D" w:rsidRDefault="00743B11" w:rsidP="00743B11">
      <w:pPr>
        <w:pStyle w:val="n"/>
        <w:widowControl/>
        <w:rPr>
          <w:lang w:val="it-IT"/>
        </w:rPr>
      </w:pPr>
      <w:r w:rsidRPr="00501C2D">
        <w:rPr>
          <w:lang w:val="it-IT"/>
        </w:rPr>
        <w:t>Ciò che non si può ammettere è un doppio criterio per valutare la capacità, cioè, uno per il momento celebrativo e uno diverso per il momento di crisi o di nullità. Non si può accettare che, in sede di celebrazione, tutti siano capaci e poi, quando arriva la crisi e il fallimento, in sede di nullità, ci sia quasi sempre la dichiarazione di nullità per incapacità psichica. La capacità, s’intende, deve essere presente al momento celebrativo, e il pastore, qualora si rendesse conto dell’esistenza di gravi mancanze personali, dovrebbe agire come pastore e fare in modo di evitare un matrimonio che, già al momento celebrativo, si vede improntato al fallimento</w:t>
      </w:r>
      <w:r w:rsidR="008B57E8" w:rsidRPr="00501C2D">
        <w:rPr>
          <w:lang w:val="it-IT"/>
        </w:rPr>
        <w:t xml:space="preserve">, sia perché </w:t>
      </w:r>
      <w:r w:rsidRPr="00501C2D">
        <w:rPr>
          <w:lang w:val="it-IT"/>
        </w:rPr>
        <w:t>si giudica che sarà nullo, per cui si</w:t>
      </w:r>
      <w:r w:rsidR="008B57E8" w:rsidRPr="00501C2D">
        <w:rPr>
          <w:lang w:val="it-IT"/>
        </w:rPr>
        <w:t xml:space="preserve"> deve rifiutare la celebrazione;</w:t>
      </w:r>
      <w:r w:rsidRPr="00501C2D">
        <w:rPr>
          <w:lang w:val="it-IT"/>
        </w:rPr>
        <w:t xml:space="preserve"> </w:t>
      </w:r>
      <w:r w:rsidR="008B57E8" w:rsidRPr="00501C2D">
        <w:rPr>
          <w:lang w:val="it-IT"/>
        </w:rPr>
        <w:t>sia nei casi in cui,</w:t>
      </w:r>
      <w:r w:rsidRPr="00501C2D">
        <w:rPr>
          <w:lang w:val="it-IT"/>
        </w:rPr>
        <w:t xml:space="preserve"> pur non essendoci un motivo chiaro di nullità, si scorge un pericolo serio di fallimento, il che do</w:t>
      </w:r>
      <w:r w:rsidR="00FF75D8">
        <w:rPr>
          <w:lang w:val="it-IT"/>
        </w:rPr>
        <w:t>vrebbe portare a sconsigliare l’</w:t>
      </w:r>
      <w:r w:rsidRPr="00501C2D">
        <w:rPr>
          <w:lang w:val="it-IT"/>
        </w:rPr>
        <w:t>unione. Bisogna però agire con discernimento, perché è in gioco il diritto fondamentale al matrimonio, e nel dubbio si deve stare per la validità e per la capacità di contrarre il matrimonio, che è, come ricordavo, la vocazione della stragrande maggioranza dei fedeli.</w:t>
      </w:r>
    </w:p>
    <w:p w14:paraId="0F26C5DA" w14:textId="77777777" w:rsidR="00743B11" w:rsidRPr="00501C2D" w:rsidRDefault="00743B11" w:rsidP="00743B11">
      <w:pPr>
        <w:pStyle w:val="n"/>
        <w:widowControl/>
        <w:rPr>
          <w:i/>
          <w:lang w:val="it-IT"/>
        </w:rPr>
      </w:pPr>
      <w:r w:rsidRPr="00501C2D">
        <w:rPr>
          <w:lang w:val="it-IT"/>
        </w:rPr>
        <w:t>4.2.</w:t>
      </w:r>
      <w:r w:rsidRPr="00501C2D">
        <w:rPr>
          <w:i/>
          <w:lang w:val="it-IT"/>
        </w:rPr>
        <w:t xml:space="preserve"> </w:t>
      </w:r>
      <w:r w:rsidR="00BB40DF" w:rsidRPr="00501C2D">
        <w:rPr>
          <w:i/>
          <w:lang w:val="it-IT"/>
        </w:rPr>
        <w:t>Diverse proposte di</w:t>
      </w:r>
      <w:r w:rsidRPr="00501C2D">
        <w:rPr>
          <w:i/>
          <w:lang w:val="it-IT"/>
        </w:rPr>
        <w:t xml:space="preserve"> riforma</w:t>
      </w:r>
      <w:r w:rsidR="00BB40DF" w:rsidRPr="00501C2D">
        <w:rPr>
          <w:i/>
          <w:lang w:val="it-IT"/>
        </w:rPr>
        <w:t xml:space="preserve"> del canone 1095</w:t>
      </w:r>
    </w:p>
    <w:p w14:paraId="5D8103E6" w14:textId="77777777" w:rsidR="00743B11" w:rsidRPr="00501C2D" w:rsidRDefault="00743B11" w:rsidP="00743B11">
      <w:pPr>
        <w:pStyle w:val="n"/>
        <w:widowControl/>
        <w:rPr>
          <w:lang w:val="it-IT"/>
        </w:rPr>
      </w:pPr>
      <w:r w:rsidRPr="00501C2D">
        <w:rPr>
          <w:lang w:val="it-IT"/>
        </w:rPr>
        <w:t xml:space="preserve">Alla luce dell’esperienza di questi </w:t>
      </w:r>
      <w:r w:rsidR="00C50D8B">
        <w:rPr>
          <w:lang w:val="it-IT"/>
        </w:rPr>
        <w:t>trent’</w:t>
      </w:r>
      <w:r w:rsidRPr="00501C2D">
        <w:rPr>
          <w:lang w:val="it-IT"/>
        </w:rPr>
        <w:t>anni di applicazione del Codice di Diritto Canonico, non dubito nell’affermare che i fatti hanno dimostrato le difficoltà oggettive nella comprensione del vigente canone 1095, soprattutto nel suoi numeri 2° e 3°, che per molti tribunali ecclesiastici dell’orbe sono diventati quasi gli unici capi di nullità del matrimonio. Per questi motivi, alla luce d</w:t>
      </w:r>
      <w:r w:rsidR="00D94E4F">
        <w:rPr>
          <w:lang w:val="it-IT"/>
        </w:rPr>
        <w:t>i</w:t>
      </w:r>
      <w:r w:rsidRPr="00501C2D">
        <w:rPr>
          <w:lang w:val="it-IT"/>
        </w:rPr>
        <w:t xml:space="preserve"> quanto ho detto sul fondamento del nostro sistema matrimoniale nel diritto divino, ci dovremmo chiedere se non sia il caso di cercare una migliore formalizzazione delle esigenze naturali di capacità per il consenso matrimoniale</w:t>
      </w:r>
      <w:r w:rsidRPr="00501C2D">
        <w:rPr>
          <w:rStyle w:val="Rimandonotaapidipagina"/>
          <w:lang w:val="it-IT"/>
        </w:rPr>
        <w:footnoteReference w:id="60"/>
      </w:r>
      <w:r w:rsidRPr="00501C2D">
        <w:rPr>
          <w:lang w:val="it-IT"/>
        </w:rPr>
        <w:t>. A mio avviso, la riforma sarebbe necessaria ed è stata proposta da diversi autori. Perciò, nel concludere questo intervento, presenterò alcune proposte di riforma, sempre alla luce della natura del matrimonio e della capacità per contrarlo.</w:t>
      </w:r>
    </w:p>
    <w:p w14:paraId="397F883D" w14:textId="77777777" w:rsidR="00743B11" w:rsidRPr="00501C2D" w:rsidRDefault="00743B11" w:rsidP="00743B11">
      <w:pPr>
        <w:pStyle w:val="n"/>
        <w:widowControl/>
        <w:rPr>
          <w:lang w:val="it-IT"/>
        </w:rPr>
      </w:pPr>
      <w:r w:rsidRPr="00501C2D">
        <w:rPr>
          <w:lang w:val="it-IT"/>
        </w:rPr>
        <w:t xml:space="preserve">Tra questi autori, </w:t>
      </w:r>
      <w:r w:rsidR="00D94E4F">
        <w:rPr>
          <w:lang w:val="it-IT"/>
        </w:rPr>
        <w:t xml:space="preserve">ne </w:t>
      </w:r>
      <w:r w:rsidRPr="00501C2D">
        <w:rPr>
          <w:lang w:val="it-IT"/>
        </w:rPr>
        <w:t>citerò due, Viladrich ed Errázuriz, che propongono una riforma del canone per arginare gli abusi che ancora ci sono nella sua applicazione, eccessi che, in buona misura, sono causati dai punti che restano oscuri nella redazione attuale.</w:t>
      </w:r>
    </w:p>
    <w:p w14:paraId="6C9A6566" w14:textId="77777777" w:rsidR="00743B11" w:rsidRPr="00501C2D" w:rsidRDefault="00743B11" w:rsidP="00743B11">
      <w:pPr>
        <w:widowControl/>
      </w:pPr>
      <w:r w:rsidRPr="00501C2D">
        <w:t>Senza arrivare a proporre una formula precisa di redazione, Viladrich, in un suo intervento nel precedente corso di aggiornamento, arriva alla conclusione che sia necessaria una nuova redazione del canone più lineare e che rispecchi meglio la natura unitaria della capacità per il matrimonio. Ecco le sue conclusioni: «Allo stesso modo che la cosiddetta simulazione, che è un campo di presupposti così ampio e importante, la quale viene risolta in due unici paragrafi nel c. 1101, uno per affermare il principio fondamentale del consenso reale, che è la presunzione di congruenza tra l’intenzione coniugale e la sua manifestazione nuziale, e l’altro per identificare gli oggetti di esclusione positiva della volontà, che non sono altro che gli elementi essenziali del matrimonio, mi sembra che la struttura letteraria del c. 1095 vada riformata in maniera simile. Si identifichino le parti essenziali del matrimonio che il soggetto deve essere capace di fondare, non essendo impedito a farlo da anomalie di natura psichica antecedenti all’atto fondazionale»</w:t>
      </w:r>
      <w:r w:rsidRPr="00501C2D">
        <w:rPr>
          <w:rStyle w:val="Rimandonotaapidipagina"/>
        </w:rPr>
        <w:footnoteReference w:id="61"/>
      </w:r>
      <w:r w:rsidRPr="00501C2D">
        <w:t xml:space="preserve">. Non </w:t>
      </w:r>
      <w:r w:rsidR="003C2089" w:rsidRPr="00501C2D">
        <w:t>giunge</w:t>
      </w:r>
      <w:r w:rsidRPr="00501C2D">
        <w:t xml:space="preserve"> l’autore a proporre una precisa redazione, ma ritengo che le sue indicazioni siano utili per guidare questa possibile riforma del canone, oltre al fatto che, in applicazione del canone 1060 sul </w:t>
      </w:r>
      <w:r w:rsidRPr="00501C2D">
        <w:rPr>
          <w:i/>
        </w:rPr>
        <w:t>favor matrimonii</w:t>
      </w:r>
      <w:r w:rsidRPr="00501C2D">
        <w:t>, come fa il canone 1101 sulla simulazione, ricorderebbe anche, in questo ambito così importante, la presunzione che tutti sono, fino a prova contraria, capaci per dare un valido consenso.</w:t>
      </w:r>
    </w:p>
    <w:p w14:paraId="7A30E0B4" w14:textId="77777777" w:rsidR="00743B11" w:rsidRPr="00501C2D" w:rsidRDefault="00743B11" w:rsidP="00743B11">
      <w:pPr>
        <w:widowControl/>
      </w:pPr>
      <w:r w:rsidRPr="00501C2D">
        <w:t xml:space="preserve">Errázuriz, nelle conclusioni </w:t>
      </w:r>
      <w:r w:rsidR="00C50D8B">
        <w:t>in</w:t>
      </w:r>
      <w:r w:rsidRPr="00501C2D">
        <w:t xml:space="preserve"> una sua relazione sulla struttura del canone 1095, nella quale </w:t>
      </w:r>
      <w:r w:rsidR="005A6342" w:rsidRPr="00501C2D">
        <w:t>fa un approfondimento sul</w:t>
      </w:r>
      <w:r w:rsidRPr="00501C2D">
        <w:t xml:space="preserve"> vero contenuto della discrezione di giudizio, analizza l’autonomia del terzo numero del canone, arrivando alla conclusione che una vera incapacità di assumere rientrerebbe a pieno titolo tra gli elementi </w:t>
      </w:r>
      <w:r w:rsidR="005A6342" w:rsidRPr="00501C2D">
        <w:t>della</w:t>
      </w:r>
      <w:r w:rsidRPr="00501C2D">
        <w:t xml:space="preserve"> </w:t>
      </w:r>
      <w:r w:rsidRPr="00501C2D">
        <w:rPr>
          <w:i/>
        </w:rPr>
        <w:t>electio</w:t>
      </w:r>
      <w:r w:rsidRPr="00501C2D">
        <w:t xml:space="preserve">, essendo </w:t>
      </w:r>
      <w:r w:rsidR="005A6342" w:rsidRPr="00501C2D">
        <w:t>quindi</w:t>
      </w:r>
      <w:r w:rsidRPr="00501C2D">
        <w:t xml:space="preserve"> una delle dimensioni della discrezione di giudizio. Alla luce di questa considerazione, ipotizza una nuova possibile redazione del canone che unisca i numeri 2° e 3° del canone: </w:t>
      </w:r>
      <w:r w:rsidR="00C50D8B">
        <w:t>«È vero che con l’</w:t>
      </w:r>
      <w:r w:rsidRPr="00501C2D">
        <w:t>attuale assetto legislativo si può operare rettamente, e il consolidarsi di una ermeneutica condivisa in tal senso costituisce il primo obiettivo da raggiungere. Tuttavia, a mio parere sarebbe molto auspicabile un intervento legislativo che chiarisse meglio il fatto che la capacità di assumere non costituisce un capitolo autonomo di nullità, e mostrasse la sua integrazione nella nozione unitaria della capacità consensuale di darsi ed accettarsi come coniugi in un vincolo indissolubile di giustizia.  In tal senso si potrebbe riformulare il n. 2 in questo modo: “Sono incapaci a contrarre matrimonio: (...) 2º coloro che per una grave anomalia psichica non possono giudicare praticamente e volere liberamente ed efficacemente la donazione ed accettazione come coniugi nei suoi elementi e proprietà essenziali”»</w:t>
      </w:r>
      <w:r w:rsidRPr="00501C2D">
        <w:rPr>
          <w:rStyle w:val="Rimandonotaapidipagina"/>
        </w:rPr>
        <w:footnoteReference w:id="62"/>
      </w:r>
      <w:r w:rsidRPr="00501C2D">
        <w:t>.</w:t>
      </w:r>
    </w:p>
    <w:p w14:paraId="402953E6" w14:textId="5A22F64B" w:rsidR="00743B11" w:rsidRPr="00501C2D" w:rsidRDefault="00743B11" w:rsidP="00743B11">
      <w:pPr>
        <w:pStyle w:val="n"/>
        <w:widowControl/>
        <w:rPr>
          <w:lang w:val="it-IT"/>
        </w:rPr>
      </w:pPr>
      <w:r w:rsidRPr="00501C2D">
        <w:rPr>
          <w:lang w:val="it-IT"/>
        </w:rPr>
        <w:t>Entrambi gli autori manifestano una loro preoccupazione, che condivido pienamente, che è quella dell’atomizzazione dell’incapacità, come se i tre numeri del canone 1095 riguardassero tre incapacità diverse, scollegate tra di esse, e non fossero invece le dimensioni di un’unica incapacità psichica. Questa visione dell’incapacità, che risponde in buona misura a quel modo di capire il consenso come “consenso soggetto” e come “consenso oggetto” a cui facevo ri</w:t>
      </w:r>
      <w:r w:rsidR="00585697">
        <w:rPr>
          <w:lang w:val="it-IT"/>
        </w:rPr>
        <w:t>ferimento in precedenza, porta i</w:t>
      </w:r>
      <w:r w:rsidRPr="00501C2D">
        <w:rPr>
          <w:lang w:val="it-IT"/>
        </w:rPr>
        <w:t xml:space="preserve">l rischio, come si è visto in questi trent’anni di interpretazione ed applicazione del canone, di non capire nella sua essenzialità cosa significhi essere capaci per il matrimonio e persino che cosa sia il consenso nei suoi elementi essenziali. Se a questo aggiungiamo la centralità che in non pochi casi si dà a delle concezioni psicologiche e psichiatriche poco confacenti </w:t>
      </w:r>
      <w:r w:rsidR="00D94E4F">
        <w:rPr>
          <w:lang w:val="it-IT"/>
        </w:rPr>
        <w:t>ad</w:t>
      </w:r>
      <w:r w:rsidR="00D94E4F" w:rsidRPr="00501C2D">
        <w:rPr>
          <w:lang w:val="it-IT"/>
        </w:rPr>
        <w:t xml:space="preserve"> </w:t>
      </w:r>
      <w:r w:rsidRPr="00501C2D">
        <w:rPr>
          <w:lang w:val="it-IT"/>
        </w:rPr>
        <w:t>una retta comprensione della persona, della libertà e del matrimonio nella sua e</w:t>
      </w:r>
      <w:r w:rsidR="0057532C">
        <w:rPr>
          <w:lang w:val="it-IT"/>
        </w:rPr>
        <w:t>ssenzialità, non</w:t>
      </w:r>
      <w:r w:rsidRPr="00501C2D">
        <w:rPr>
          <w:lang w:val="it-IT"/>
        </w:rPr>
        <w:t xml:space="preserve"> </w:t>
      </w:r>
      <w:r w:rsidR="00D94E4F">
        <w:rPr>
          <w:lang w:val="it-IT"/>
        </w:rPr>
        <w:t xml:space="preserve">bisogna </w:t>
      </w:r>
      <w:r w:rsidRPr="00501C2D">
        <w:rPr>
          <w:lang w:val="it-IT"/>
        </w:rPr>
        <w:t>stupir</w:t>
      </w:r>
      <w:r w:rsidR="00D94E4F">
        <w:rPr>
          <w:lang w:val="it-IT"/>
        </w:rPr>
        <w:t xml:space="preserve">si del fatto </w:t>
      </w:r>
      <w:r w:rsidRPr="00501C2D">
        <w:rPr>
          <w:lang w:val="it-IT"/>
        </w:rPr>
        <w:t>che siano stati necessari tanti interventi del legislatore per contenere gli abusi nell’applicazione del canone.</w:t>
      </w:r>
    </w:p>
    <w:p w14:paraId="0C8477CC" w14:textId="77777777" w:rsidR="00443A47" w:rsidRPr="00501C2D" w:rsidRDefault="00B97D17" w:rsidP="00443A47">
      <w:pPr>
        <w:pStyle w:val="n"/>
        <w:widowControl/>
        <w:rPr>
          <w:lang w:val="it-IT"/>
        </w:rPr>
      </w:pPr>
      <w:r w:rsidRPr="00501C2D">
        <w:rPr>
          <w:lang w:val="it-IT"/>
        </w:rPr>
        <w:t xml:space="preserve">Sono consapevole che una riforma nel senso indicato da questi due autori non sia facile e forse i tempi non sono maturi </w:t>
      </w:r>
      <w:r w:rsidR="00443A47" w:rsidRPr="00501C2D">
        <w:rPr>
          <w:lang w:val="it-IT"/>
        </w:rPr>
        <w:t>per una riforma del genere, la quale richiederebbe un ripensamento di tutta la questione, anche dal punto di vista antropologico, psicologico e psichiatrico.</w:t>
      </w:r>
    </w:p>
    <w:p w14:paraId="50F48D66" w14:textId="77777777" w:rsidR="00443A47" w:rsidRPr="00501C2D" w:rsidRDefault="00B97D17" w:rsidP="00443A47">
      <w:pPr>
        <w:pStyle w:val="n"/>
        <w:widowControl/>
        <w:tabs>
          <w:tab w:val="left" w:pos="2268"/>
        </w:tabs>
        <w:rPr>
          <w:lang w:val="it-IT"/>
        </w:rPr>
      </w:pPr>
      <w:r w:rsidRPr="00501C2D">
        <w:rPr>
          <w:lang w:val="it-IT"/>
        </w:rPr>
        <w:t>Se ciò non si ritenesse opportun</w:t>
      </w:r>
      <w:r w:rsidR="000E59AA" w:rsidRPr="00501C2D">
        <w:rPr>
          <w:lang w:val="it-IT"/>
        </w:rPr>
        <w:t>o, si potrebbe almeno pensare a</w:t>
      </w:r>
      <w:r w:rsidRPr="00501C2D">
        <w:rPr>
          <w:lang w:val="it-IT"/>
        </w:rPr>
        <w:t xml:space="preserve"> una più</w:t>
      </w:r>
      <w:r w:rsidR="00443A47" w:rsidRPr="00501C2D">
        <w:rPr>
          <w:lang w:val="it-IT"/>
        </w:rPr>
        <w:t xml:space="preserve"> precisa redazione dei numeri 2° e 3° del canone, rendendo più e</w:t>
      </w:r>
      <w:r w:rsidR="00DB5550" w:rsidRPr="00501C2D">
        <w:rPr>
          <w:lang w:val="it-IT"/>
        </w:rPr>
        <w:t>spliciti alcuni elementi che i discorsi p</w:t>
      </w:r>
      <w:r w:rsidR="00443A47" w:rsidRPr="00501C2D">
        <w:rPr>
          <w:lang w:val="it-IT"/>
        </w:rPr>
        <w:t xml:space="preserve">ontifici, la giurisprudenza della Rota Romana e la </w:t>
      </w:r>
      <w:r w:rsidR="00443A47" w:rsidRPr="00501C2D">
        <w:rPr>
          <w:i/>
          <w:lang w:val="it-IT"/>
        </w:rPr>
        <w:t>Dignitas Connubii</w:t>
      </w:r>
      <w:r w:rsidR="00443A47" w:rsidRPr="00501C2D">
        <w:rPr>
          <w:lang w:val="it-IT"/>
        </w:rPr>
        <w:t xml:space="preserve"> hanno </w:t>
      </w:r>
      <w:r w:rsidR="000E59AA" w:rsidRPr="00501C2D">
        <w:rPr>
          <w:lang w:val="it-IT"/>
        </w:rPr>
        <w:t>chiarito</w:t>
      </w:r>
      <w:r w:rsidR="00443A47" w:rsidRPr="00501C2D">
        <w:rPr>
          <w:lang w:val="it-IT"/>
        </w:rPr>
        <w:t xml:space="preserve"> lungo questi anni. In questo senso, </w:t>
      </w:r>
      <w:r w:rsidR="00BB40DF" w:rsidRPr="00501C2D">
        <w:rPr>
          <w:lang w:val="it-IT"/>
        </w:rPr>
        <w:t>si potre</w:t>
      </w:r>
      <w:r w:rsidRPr="00501C2D">
        <w:rPr>
          <w:lang w:val="it-IT"/>
        </w:rPr>
        <w:t>bbe</w:t>
      </w:r>
      <w:r w:rsidR="00443A47" w:rsidRPr="00501C2D">
        <w:rPr>
          <w:lang w:val="it-IT"/>
        </w:rPr>
        <w:t xml:space="preserve"> evidenziare che ogni incapacità psichica implica, per sua stessa natura, l’esistenza di un’anomalia psichica</w:t>
      </w:r>
      <w:r w:rsidR="00BB40DF" w:rsidRPr="00501C2D">
        <w:rPr>
          <w:lang w:val="it-IT"/>
        </w:rPr>
        <w:t xml:space="preserve"> nel momento del consenso</w:t>
      </w:r>
      <w:r w:rsidR="00443A47" w:rsidRPr="00501C2D">
        <w:rPr>
          <w:lang w:val="it-IT"/>
        </w:rPr>
        <w:t xml:space="preserve">, la quale deve essere provata per dichiarare la nullità del matrimonio. Una possibile nuova redazione del canone </w:t>
      </w:r>
      <w:r w:rsidR="000E59AA" w:rsidRPr="00501C2D">
        <w:rPr>
          <w:lang w:val="it-IT"/>
        </w:rPr>
        <w:t>potrebbe essere</w:t>
      </w:r>
      <w:r w:rsidR="00443A47" w:rsidRPr="00501C2D">
        <w:rPr>
          <w:lang w:val="it-IT"/>
        </w:rPr>
        <w:t xml:space="preserve"> la seguente:</w:t>
      </w:r>
    </w:p>
    <w:p w14:paraId="50E1560C" w14:textId="77777777" w:rsidR="00443A47" w:rsidRPr="00501C2D" w:rsidRDefault="00443A47" w:rsidP="00443A47">
      <w:pPr>
        <w:pStyle w:val="n"/>
        <w:widowControl/>
        <w:tabs>
          <w:tab w:val="left" w:pos="2268"/>
        </w:tabs>
        <w:rPr>
          <w:lang w:val="it-IT"/>
        </w:rPr>
      </w:pPr>
      <w:r w:rsidRPr="00501C2D">
        <w:rPr>
          <w:lang w:val="it-IT"/>
        </w:rPr>
        <w:t>«</w:t>
      </w:r>
      <w:r w:rsidR="00B97D17" w:rsidRPr="00501C2D">
        <w:rPr>
          <w:lang w:val="it-IT"/>
        </w:rPr>
        <w:t xml:space="preserve">Sono incapaci per contrarre il matrimonio coloro che, per una grave anomalia psichica: 1° mancano del sufficiente uso di ragione; 2° </w:t>
      </w:r>
      <w:r w:rsidR="00F87DFE" w:rsidRPr="00501C2D">
        <w:rPr>
          <w:color w:val="000000"/>
          <w:lang w:val="it-IT"/>
        </w:rPr>
        <w:t>difettano gravemente di discrezione di giudizio, cioè della facoltà critica ed elettiva, circa i diritti e i doveri matrimoniali essenziali da dare e accettare reciprocamente</w:t>
      </w:r>
      <w:r w:rsidRPr="00501C2D">
        <w:rPr>
          <w:lang w:val="it-IT"/>
        </w:rPr>
        <w:t xml:space="preserve">; 3° </w:t>
      </w:r>
      <w:r w:rsidR="00DC64B3" w:rsidRPr="00501C2D">
        <w:rPr>
          <w:lang w:val="it-IT"/>
        </w:rPr>
        <w:t>non possono</w:t>
      </w:r>
      <w:r w:rsidR="00F87DFE" w:rsidRPr="00501C2D">
        <w:rPr>
          <w:lang w:val="it-IT"/>
        </w:rPr>
        <w:t xml:space="preserve"> assumere gli obblighi essenziali del matrimonio</w:t>
      </w:r>
      <w:r w:rsidR="00DC64B3" w:rsidRPr="00501C2D">
        <w:rPr>
          <w:lang w:val="it-IT"/>
        </w:rPr>
        <w:t xml:space="preserve"> nel momento della manifestazione del consenso</w:t>
      </w:r>
      <w:r w:rsidRPr="00501C2D">
        <w:rPr>
          <w:lang w:val="it-IT"/>
        </w:rPr>
        <w:t>».</w:t>
      </w:r>
    </w:p>
    <w:p w14:paraId="6FAEFBF3" w14:textId="77777777" w:rsidR="00443A47" w:rsidRPr="00501C2D" w:rsidRDefault="00443A47" w:rsidP="00443A47">
      <w:pPr>
        <w:pStyle w:val="n"/>
        <w:widowControl/>
        <w:tabs>
          <w:tab w:val="left" w:pos="2268"/>
        </w:tabs>
        <w:rPr>
          <w:lang w:val="it-IT"/>
        </w:rPr>
      </w:pPr>
      <w:r w:rsidRPr="00501C2D">
        <w:rPr>
          <w:lang w:val="it-IT"/>
        </w:rPr>
        <w:t xml:space="preserve">Come si può osservare, in questa proposta </w:t>
      </w:r>
      <w:r w:rsidR="000E59AA" w:rsidRPr="00501C2D">
        <w:rPr>
          <w:lang w:val="it-IT"/>
        </w:rPr>
        <w:t xml:space="preserve">che faccio </w:t>
      </w:r>
      <w:r w:rsidRPr="00501C2D">
        <w:rPr>
          <w:lang w:val="it-IT"/>
        </w:rPr>
        <w:t xml:space="preserve">si include nell’introduzione del canone </w:t>
      </w:r>
      <w:r w:rsidR="00DC64B3" w:rsidRPr="00501C2D">
        <w:rPr>
          <w:lang w:val="it-IT"/>
        </w:rPr>
        <w:t>un’</w:t>
      </w:r>
      <w:r w:rsidRPr="00501C2D">
        <w:rPr>
          <w:lang w:val="it-IT"/>
        </w:rPr>
        <w:t xml:space="preserve">aggiunta che rende esplicito che qualsiasi incapacità psichica deve avere la sua origine nell’esistenza di una anomalia psichica </w:t>
      </w:r>
      <w:r w:rsidR="00DB5550" w:rsidRPr="00501C2D">
        <w:rPr>
          <w:lang w:val="it-IT"/>
        </w:rPr>
        <w:t xml:space="preserve">grave </w:t>
      </w:r>
      <w:r w:rsidRPr="00501C2D">
        <w:rPr>
          <w:lang w:val="it-IT"/>
        </w:rPr>
        <w:t xml:space="preserve">nel momento della manifestazione del consenso — </w:t>
      </w:r>
      <w:r w:rsidR="00DC64B3" w:rsidRPr="00501C2D">
        <w:rPr>
          <w:i/>
          <w:lang w:val="it-IT"/>
        </w:rPr>
        <w:t>coloro che, per una grave anomalia psichica</w:t>
      </w:r>
      <w:r w:rsidRPr="00501C2D">
        <w:rPr>
          <w:lang w:val="it-IT"/>
        </w:rPr>
        <w:t xml:space="preserve"> —. </w:t>
      </w:r>
      <w:r w:rsidR="00DC64B3" w:rsidRPr="00501C2D">
        <w:rPr>
          <w:lang w:val="it-IT"/>
        </w:rPr>
        <w:t>Questa aggiunta rispecchia sia l’interpretazione fa</w:t>
      </w:r>
      <w:r w:rsidR="00585697">
        <w:rPr>
          <w:lang w:val="it-IT"/>
        </w:rPr>
        <w:t>tta dal legislatore nei discorsi</w:t>
      </w:r>
      <w:r w:rsidR="00DC64B3" w:rsidRPr="00501C2D">
        <w:rPr>
          <w:lang w:val="it-IT"/>
        </w:rPr>
        <w:t xml:space="preserve"> alla Rota Romana che le precisazioni fatte nell’art. 209 della </w:t>
      </w:r>
      <w:r w:rsidR="00DC64B3" w:rsidRPr="00501C2D">
        <w:rPr>
          <w:i/>
          <w:lang w:val="it-IT"/>
        </w:rPr>
        <w:t>Dignitas Connubii</w:t>
      </w:r>
      <w:r w:rsidR="00DC64B3" w:rsidRPr="00501C2D">
        <w:rPr>
          <w:lang w:val="it-IT"/>
        </w:rPr>
        <w:t xml:space="preserve">. </w:t>
      </w:r>
      <w:r w:rsidRPr="00501C2D">
        <w:rPr>
          <w:lang w:val="it-IT"/>
        </w:rPr>
        <w:t xml:space="preserve">Inoltre, </w:t>
      </w:r>
      <w:r w:rsidR="00BB40DF" w:rsidRPr="00501C2D">
        <w:rPr>
          <w:lang w:val="it-IT"/>
        </w:rPr>
        <w:t xml:space="preserve">per quanto riguarda il 2° numero del canone, </w:t>
      </w:r>
      <w:r w:rsidRPr="00501C2D">
        <w:rPr>
          <w:lang w:val="it-IT"/>
        </w:rPr>
        <w:t xml:space="preserve">si raccoglie un indirizzo giurisprudenziale ormai unanime secondo il quale la discrezione di giudizio coinvolge non solo la facoltà critica ma anche quella elettiva. Infine, seguendo i discorsi pontifici alla Rota, per quanto riguarda il </w:t>
      </w:r>
      <w:r w:rsidR="00BB40DF" w:rsidRPr="00501C2D">
        <w:rPr>
          <w:lang w:val="it-IT"/>
        </w:rPr>
        <w:t>3°</w:t>
      </w:r>
      <w:r w:rsidR="00DC64B3" w:rsidRPr="00501C2D">
        <w:rPr>
          <w:lang w:val="it-IT"/>
        </w:rPr>
        <w:t xml:space="preserve"> numero del canone, si propone</w:t>
      </w:r>
      <w:r w:rsidR="00D94E4F">
        <w:rPr>
          <w:lang w:val="it-IT"/>
        </w:rPr>
        <w:t xml:space="preserve"> di</w:t>
      </w:r>
      <w:r w:rsidR="00DC64B3" w:rsidRPr="00501C2D">
        <w:rPr>
          <w:lang w:val="it-IT"/>
        </w:rPr>
        <w:t xml:space="preserve"> dire “non possono” anziché “sono incapaci” </w:t>
      </w:r>
      <w:r w:rsidRPr="00501C2D">
        <w:rPr>
          <w:lang w:val="it-IT"/>
        </w:rPr>
        <w:t xml:space="preserve">per sottolineare che l’incapacità non si può identificare con le difficoltà, persino gravi, nel vivere la vita matrimoniale, ma è </w:t>
      </w:r>
      <w:r w:rsidR="000E59AA" w:rsidRPr="00501C2D">
        <w:rPr>
          <w:lang w:val="it-IT"/>
        </w:rPr>
        <w:t xml:space="preserve">la </w:t>
      </w:r>
      <w:r w:rsidRPr="00501C2D">
        <w:rPr>
          <w:lang w:val="it-IT"/>
        </w:rPr>
        <w:t>vera impossibilità di assumere la condizione coniugal</w:t>
      </w:r>
      <w:r w:rsidR="00D94E4F">
        <w:rPr>
          <w:lang w:val="it-IT"/>
        </w:rPr>
        <w:t>e</w:t>
      </w:r>
      <w:r w:rsidRPr="00501C2D">
        <w:rPr>
          <w:lang w:val="it-IT"/>
        </w:rPr>
        <w:t xml:space="preserve"> nei suoi elementi giuridici essenziali, identif</w:t>
      </w:r>
      <w:r w:rsidR="00BB40DF" w:rsidRPr="00501C2D">
        <w:rPr>
          <w:lang w:val="it-IT"/>
        </w:rPr>
        <w:t xml:space="preserve">icati negli obblighi essenziali, impossibilità che deve essere presente nel momento </w:t>
      </w:r>
      <w:r w:rsidR="00585697">
        <w:rPr>
          <w:lang w:val="it-IT"/>
        </w:rPr>
        <w:t>della manifestazione de</w:t>
      </w:r>
      <w:r w:rsidR="00D94E4F">
        <w:rPr>
          <w:lang w:val="it-IT"/>
        </w:rPr>
        <w:t>l</w:t>
      </w:r>
      <w:r w:rsidR="00585697">
        <w:rPr>
          <w:lang w:val="it-IT"/>
        </w:rPr>
        <w:t xml:space="preserve"> segno nuziale</w:t>
      </w:r>
      <w:r w:rsidR="00BB40DF" w:rsidRPr="00501C2D">
        <w:rPr>
          <w:lang w:val="it-IT"/>
        </w:rPr>
        <w:t>.</w:t>
      </w:r>
    </w:p>
    <w:p w14:paraId="27048134" w14:textId="77777777" w:rsidR="00743B11" w:rsidRPr="00501C2D" w:rsidRDefault="00743B11" w:rsidP="00743B11">
      <w:pPr>
        <w:pStyle w:val="n"/>
        <w:widowControl/>
        <w:rPr>
          <w:i/>
          <w:lang w:val="it-IT"/>
        </w:rPr>
      </w:pPr>
      <w:r w:rsidRPr="00501C2D">
        <w:rPr>
          <w:lang w:val="it-IT"/>
        </w:rPr>
        <w:t>4.3.</w:t>
      </w:r>
      <w:r w:rsidR="00AE5EBB" w:rsidRPr="00501C2D">
        <w:rPr>
          <w:i/>
          <w:lang w:val="it-IT"/>
        </w:rPr>
        <w:t xml:space="preserve"> Altre p</w:t>
      </w:r>
      <w:r w:rsidRPr="00501C2D">
        <w:rPr>
          <w:i/>
          <w:lang w:val="it-IT"/>
        </w:rPr>
        <w:t xml:space="preserve">roposte </w:t>
      </w:r>
      <w:r w:rsidR="00AE5EBB" w:rsidRPr="00501C2D">
        <w:rPr>
          <w:i/>
          <w:lang w:val="it-IT"/>
        </w:rPr>
        <w:t>per aiutare un’adeguata comprensione dell’incapacità psichica</w:t>
      </w:r>
    </w:p>
    <w:p w14:paraId="72DD7F54" w14:textId="77777777" w:rsidR="00743B11" w:rsidRPr="00501C2D" w:rsidRDefault="00743B11" w:rsidP="00743B11">
      <w:pPr>
        <w:pStyle w:val="n"/>
        <w:widowControl/>
        <w:rPr>
          <w:lang w:val="it-IT"/>
        </w:rPr>
      </w:pPr>
      <w:r w:rsidRPr="00501C2D">
        <w:rPr>
          <w:lang w:val="it-IT"/>
        </w:rPr>
        <w:t>Nello studio del probl</w:t>
      </w:r>
      <w:r w:rsidR="00DB5550" w:rsidRPr="00501C2D">
        <w:rPr>
          <w:lang w:val="it-IT"/>
        </w:rPr>
        <w:t>ema e nella ricerca di soluzioni</w:t>
      </w:r>
      <w:r w:rsidRPr="00501C2D">
        <w:rPr>
          <w:lang w:val="it-IT"/>
        </w:rPr>
        <w:t xml:space="preserve">, </w:t>
      </w:r>
      <w:r w:rsidR="00DB5550" w:rsidRPr="00501C2D">
        <w:rPr>
          <w:lang w:val="it-IT"/>
        </w:rPr>
        <w:t>ci sono anche altre</w:t>
      </w:r>
      <w:r w:rsidRPr="00501C2D">
        <w:rPr>
          <w:lang w:val="it-IT"/>
        </w:rPr>
        <w:t xml:space="preserve"> </w:t>
      </w:r>
      <w:r w:rsidR="00AE5EBB" w:rsidRPr="00501C2D">
        <w:rPr>
          <w:lang w:val="it-IT"/>
        </w:rPr>
        <w:t>possibilità</w:t>
      </w:r>
      <w:r w:rsidRPr="00501C2D">
        <w:rPr>
          <w:lang w:val="it-IT"/>
        </w:rPr>
        <w:t xml:space="preserve">, che non si limitano </w:t>
      </w:r>
      <w:r w:rsidR="00DB5550" w:rsidRPr="00501C2D">
        <w:rPr>
          <w:lang w:val="it-IT"/>
        </w:rPr>
        <w:t>alla riforma de</w:t>
      </w:r>
      <w:r w:rsidRPr="00501C2D">
        <w:rPr>
          <w:lang w:val="it-IT"/>
        </w:rPr>
        <w:t>l canone 1095. Presenterò in modo succin</w:t>
      </w:r>
      <w:r w:rsidR="00DB5550" w:rsidRPr="00501C2D">
        <w:rPr>
          <w:lang w:val="it-IT"/>
        </w:rPr>
        <w:t xml:space="preserve">to alcune vie che mi sembrano utili e talvolta anche necessarie per arginare gli abusi e che sarebbero </w:t>
      </w:r>
      <w:r w:rsidR="00EE3A3A">
        <w:rPr>
          <w:lang w:val="it-IT"/>
        </w:rPr>
        <w:t>conseguenti</w:t>
      </w:r>
      <w:r w:rsidR="00EE3A3A" w:rsidRPr="00501C2D">
        <w:rPr>
          <w:lang w:val="it-IT"/>
        </w:rPr>
        <w:t xml:space="preserve"> </w:t>
      </w:r>
      <w:r w:rsidR="00DB5550" w:rsidRPr="00501C2D">
        <w:rPr>
          <w:lang w:val="it-IT"/>
        </w:rPr>
        <w:t>alla riforma del canone</w:t>
      </w:r>
      <w:r w:rsidRPr="00501C2D">
        <w:rPr>
          <w:lang w:val="it-IT"/>
        </w:rPr>
        <w:t>.</w:t>
      </w:r>
    </w:p>
    <w:p w14:paraId="366AB8BF" w14:textId="77777777" w:rsidR="00743B11" w:rsidRPr="00501C2D" w:rsidRDefault="00743B11" w:rsidP="00743B11">
      <w:pPr>
        <w:pStyle w:val="n"/>
        <w:widowControl/>
        <w:rPr>
          <w:i/>
          <w:lang w:val="it-IT"/>
        </w:rPr>
      </w:pPr>
      <w:r w:rsidRPr="00501C2D">
        <w:rPr>
          <w:lang w:val="it-IT"/>
        </w:rPr>
        <w:t>4.3.1.</w:t>
      </w:r>
      <w:r w:rsidRPr="00501C2D">
        <w:rPr>
          <w:i/>
          <w:lang w:val="it-IT"/>
        </w:rPr>
        <w:t xml:space="preserve"> Una migliore preparazione degli operatori dei tribunali</w:t>
      </w:r>
    </w:p>
    <w:p w14:paraId="373E3B59" w14:textId="77777777" w:rsidR="00743B11" w:rsidRPr="00501C2D" w:rsidRDefault="00743B11" w:rsidP="00743B11">
      <w:pPr>
        <w:pStyle w:val="n"/>
        <w:widowControl/>
        <w:rPr>
          <w:lang w:val="it-IT"/>
        </w:rPr>
      </w:pPr>
      <w:r w:rsidRPr="00501C2D">
        <w:rPr>
          <w:lang w:val="it-IT"/>
        </w:rPr>
        <w:t>Una prima proposta</w:t>
      </w:r>
      <w:r w:rsidR="00370408" w:rsidRPr="00501C2D">
        <w:rPr>
          <w:lang w:val="it-IT"/>
        </w:rPr>
        <w:t xml:space="preserve"> </w:t>
      </w:r>
      <w:r w:rsidRPr="00501C2D">
        <w:rPr>
          <w:lang w:val="it-IT"/>
        </w:rPr>
        <w:t xml:space="preserve">è </w:t>
      </w:r>
      <w:r w:rsidR="00AE5EBB" w:rsidRPr="00501C2D">
        <w:rPr>
          <w:lang w:val="it-IT"/>
        </w:rPr>
        <w:t>quella</w:t>
      </w:r>
      <w:r w:rsidRPr="00501C2D">
        <w:rPr>
          <w:lang w:val="it-IT"/>
        </w:rPr>
        <w:t xml:space="preserve"> di curare meglio la formazione — anche quella permanente — dei giudici e degli altri operatori dei tribunali. In questo ambito, </w:t>
      </w:r>
      <w:r w:rsidR="00AE5EBB" w:rsidRPr="00501C2D">
        <w:rPr>
          <w:lang w:val="it-IT"/>
        </w:rPr>
        <w:t xml:space="preserve">molte </w:t>
      </w:r>
      <w:r w:rsidRPr="00501C2D">
        <w:rPr>
          <w:lang w:val="it-IT"/>
        </w:rPr>
        <w:t>volte gli abusi rispondono ad una mancanza di formazione teologica, giuridica e antropologica, che porta ad una comprensione errata del canone</w:t>
      </w:r>
      <w:r w:rsidR="00370408" w:rsidRPr="00501C2D">
        <w:rPr>
          <w:lang w:val="it-IT"/>
        </w:rPr>
        <w:t xml:space="preserve">. Per questo motivo, mi pare che si debbano </w:t>
      </w:r>
      <w:r w:rsidRPr="00501C2D">
        <w:rPr>
          <w:lang w:val="it-IT"/>
        </w:rPr>
        <w:t xml:space="preserve">trovare </w:t>
      </w:r>
      <w:r w:rsidR="00770AB3">
        <w:rPr>
          <w:lang w:val="it-IT"/>
        </w:rPr>
        <w:t>dei modi</w:t>
      </w:r>
      <w:r w:rsidRPr="00501C2D">
        <w:rPr>
          <w:lang w:val="it-IT"/>
        </w:rPr>
        <w:t xml:space="preserve"> per rendere più accessibile ai tribunali la giurisprudenza della Rota Romana. </w:t>
      </w:r>
      <w:r w:rsidR="000F5D44" w:rsidRPr="00501C2D">
        <w:rPr>
          <w:lang w:val="it-IT"/>
        </w:rPr>
        <w:t>Si potrebbe prospettare</w:t>
      </w:r>
      <w:r w:rsidRPr="00501C2D">
        <w:rPr>
          <w:lang w:val="it-IT"/>
        </w:rPr>
        <w:t xml:space="preserve"> la stesura di un documento da inviare a tutti i tribunali</w:t>
      </w:r>
      <w:r w:rsidR="000F5D44" w:rsidRPr="00501C2D">
        <w:rPr>
          <w:lang w:val="it-IT"/>
        </w:rPr>
        <w:t>,</w:t>
      </w:r>
      <w:r w:rsidRPr="00501C2D">
        <w:rPr>
          <w:lang w:val="it-IT"/>
        </w:rPr>
        <w:t xml:space="preserve"> nel quale si raccogliessero le principali massime giurisprudenziali sul can. 1095, i </w:t>
      </w:r>
      <w:r w:rsidR="000F5D44" w:rsidRPr="00501C2D">
        <w:rPr>
          <w:lang w:val="it-IT"/>
        </w:rPr>
        <w:t>d</w:t>
      </w:r>
      <w:r w:rsidRPr="00501C2D">
        <w:rPr>
          <w:lang w:val="it-IT"/>
        </w:rPr>
        <w:t xml:space="preserve">iscorsi dei Romani Pontifici alla Rota Romana riguardanti l’incapacità psichica, le precisazioni fatte dalla </w:t>
      </w:r>
      <w:r w:rsidRPr="00501C2D">
        <w:rPr>
          <w:i/>
          <w:lang w:val="it-IT"/>
        </w:rPr>
        <w:t>Dignitas Connubii</w:t>
      </w:r>
      <w:r w:rsidRPr="00501C2D">
        <w:rPr>
          <w:lang w:val="it-IT"/>
        </w:rPr>
        <w:t xml:space="preserve">, ecc. In questa linea, </w:t>
      </w:r>
      <w:r w:rsidR="000F5D44" w:rsidRPr="00501C2D">
        <w:rPr>
          <w:lang w:val="it-IT"/>
        </w:rPr>
        <w:t>bisogna dire</w:t>
      </w:r>
      <w:r w:rsidRPr="00501C2D">
        <w:rPr>
          <w:lang w:val="it-IT"/>
        </w:rPr>
        <w:t xml:space="preserve"> che purtroppo in non pochi tribunali non si tiene conto della </w:t>
      </w:r>
      <w:r w:rsidRPr="00501C2D">
        <w:rPr>
          <w:i/>
          <w:lang w:val="it-IT"/>
        </w:rPr>
        <w:t>Dignitas Connubii</w:t>
      </w:r>
      <w:r w:rsidRPr="00501C2D">
        <w:rPr>
          <w:lang w:val="it-IT"/>
        </w:rPr>
        <w:t>, in modo particolare per quanto riguarda la prova dell’incapacità psichica.</w:t>
      </w:r>
    </w:p>
    <w:p w14:paraId="69779581" w14:textId="77777777" w:rsidR="00743B11" w:rsidRPr="00501C2D" w:rsidRDefault="00743B11" w:rsidP="00743B11">
      <w:pPr>
        <w:pStyle w:val="n"/>
        <w:widowControl/>
        <w:rPr>
          <w:lang w:val="it-IT"/>
        </w:rPr>
      </w:pPr>
      <w:r w:rsidRPr="00501C2D">
        <w:rPr>
          <w:lang w:val="it-IT"/>
        </w:rPr>
        <w:t xml:space="preserve">Insieme a quest’opera di formazione e informazione sul vero significato dell’incapacità psichica, </w:t>
      </w:r>
      <w:r w:rsidR="000F5D44" w:rsidRPr="00501C2D">
        <w:rPr>
          <w:lang w:val="it-IT"/>
        </w:rPr>
        <w:t>è</w:t>
      </w:r>
      <w:r w:rsidRPr="00501C2D">
        <w:rPr>
          <w:lang w:val="it-IT"/>
        </w:rPr>
        <w:t xml:space="preserve"> evidente la necessità di un controllo più rigoroso sull’operato dei tribunali, non solo da parte della Segnatura Apostolica, ma principalmente da parte dei Vescovi responsabili dei loro tribunali, senza che i Vescovi ritengano adempiuto il loro dovere di garantire l’amministrazione di giustizia con la creazione dei tribunali, disattendendosi del loro retto operato.</w:t>
      </w:r>
    </w:p>
    <w:p w14:paraId="2BAF5D57" w14:textId="77777777" w:rsidR="00743B11" w:rsidRPr="00501C2D" w:rsidRDefault="00743B11" w:rsidP="00743B11">
      <w:pPr>
        <w:pStyle w:val="n"/>
        <w:widowControl/>
        <w:rPr>
          <w:i/>
          <w:lang w:val="it-IT"/>
        </w:rPr>
      </w:pPr>
      <w:r w:rsidRPr="00501C2D">
        <w:rPr>
          <w:lang w:val="it-IT"/>
        </w:rPr>
        <w:t>4.3.2.</w:t>
      </w:r>
      <w:r w:rsidRPr="00501C2D">
        <w:rPr>
          <w:i/>
          <w:lang w:val="it-IT"/>
        </w:rPr>
        <w:t xml:space="preserve"> </w:t>
      </w:r>
      <w:r w:rsidR="000F5D44" w:rsidRPr="00501C2D">
        <w:rPr>
          <w:i/>
          <w:lang w:val="it-IT"/>
        </w:rPr>
        <w:t>Il ruolo del difensore del vincolo nelle cause riguardanti l’incapacità</w:t>
      </w:r>
    </w:p>
    <w:p w14:paraId="019CA687" w14:textId="77777777" w:rsidR="00B7673D" w:rsidRPr="00501C2D" w:rsidRDefault="00184227" w:rsidP="00743B11">
      <w:pPr>
        <w:pStyle w:val="n"/>
        <w:widowControl/>
        <w:rPr>
          <w:lang w:val="it-IT"/>
        </w:rPr>
      </w:pPr>
      <w:r w:rsidRPr="00501C2D">
        <w:rPr>
          <w:lang w:val="it-IT"/>
        </w:rPr>
        <w:t>Se è importante, e necessaria, la partecipazione del difensore del vincolo in tutto il processo</w:t>
      </w:r>
      <w:r w:rsidR="00F51768">
        <w:rPr>
          <w:lang w:val="it-IT"/>
        </w:rPr>
        <w:t xml:space="preserve"> dichiarativo della nullità del matrimonio</w:t>
      </w:r>
      <w:r w:rsidRPr="00501C2D">
        <w:rPr>
          <w:lang w:val="it-IT"/>
        </w:rPr>
        <w:t>, non vi è dubbio che la sua presenza nelle cause per incapacità, soprattutto nel</w:t>
      </w:r>
      <w:r w:rsidR="00770AB3">
        <w:rPr>
          <w:lang w:val="it-IT"/>
        </w:rPr>
        <w:t>la</w:t>
      </w:r>
      <w:r w:rsidRPr="00501C2D">
        <w:rPr>
          <w:lang w:val="it-IT"/>
        </w:rPr>
        <w:t xml:space="preserve"> </w:t>
      </w:r>
      <w:r w:rsidR="00770AB3">
        <w:rPr>
          <w:lang w:val="it-IT"/>
        </w:rPr>
        <w:t>fase</w:t>
      </w:r>
      <w:r w:rsidRPr="00501C2D">
        <w:rPr>
          <w:lang w:val="it-IT"/>
        </w:rPr>
        <w:t xml:space="preserve"> di </w:t>
      </w:r>
      <w:r w:rsidR="00770AB3">
        <w:rPr>
          <w:lang w:val="it-IT"/>
        </w:rPr>
        <w:t>acquisizione</w:t>
      </w:r>
      <w:r w:rsidRPr="00501C2D">
        <w:rPr>
          <w:lang w:val="it-IT"/>
        </w:rPr>
        <w:t xml:space="preserve"> delle prove, sia ancora più necessaria, in quanto proprio in questo momento si forma la possibilità di raggiungere la certezza morale della nullità del vincolo matrimoniale, tanto più nei casi sopra ricordati in cui è molto difficile provare la nullità. È proprio quello che ricordava Giovanni Paolo II nel Discorso del 1988 già citato quando, parlando delle cause che riguardano l’incapacità psichica dei contraenti, sottolineava la più pressante necessità della presenza attiva del difensore del vincolo data la difficoltà di queste cause</w:t>
      </w:r>
      <w:r w:rsidR="00F51768">
        <w:rPr>
          <w:lang w:val="it-IT"/>
        </w:rPr>
        <w:t xml:space="preserve">: </w:t>
      </w:r>
      <w:r w:rsidR="00F51768">
        <w:t>«</w:t>
      </w:r>
      <w:r w:rsidR="00F51768" w:rsidRPr="00F51768">
        <w:rPr>
          <w:lang w:val="it-IT"/>
        </w:rPr>
        <w:t xml:space="preserve">La necessità di adempiere tale obbligo assume una particolare rilevanza nelle cause matrimoniali, in sé molto difficili, che riguardano l’incapacità psichica dei contraenti. In esse, infatti, possono facilmente aversi confusione e fraintendimenti </w:t>
      </w:r>
      <w:r w:rsidR="002B7706">
        <w:rPr>
          <w:lang w:val="it-IT"/>
        </w:rPr>
        <w:t>—</w:t>
      </w:r>
      <w:r w:rsidR="00F51768" w:rsidRPr="00F51768">
        <w:rPr>
          <w:lang w:val="it-IT"/>
        </w:rPr>
        <w:t xml:space="preserve"> che ebbi a sottolineare l’anno scorso </w:t>
      </w:r>
      <w:r w:rsidR="002B7706">
        <w:rPr>
          <w:lang w:val="it-IT"/>
        </w:rPr>
        <w:t>—</w:t>
      </w:r>
      <w:r w:rsidR="00F51768" w:rsidRPr="00F51768">
        <w:rPr>
          <w:lang w:val="it-IT"/>
        </w:rPr>
        <w:t xml:space="preserve"> nel dialogo fra lo psichiatra o lo psicologo e il giudice ecclesiastico, col conseguente uso scorretto delle perizie psichiatriche e psicologiche. Ciò richiede che l’intervento del difensore del vincolo sia davvero qualificato e perspicace, così da contribuire efficacemente alla chiarezza dei fatti e dei significati, diventando anche, nelle cause concrete, una difesa della visione cristiana della natura umana e del matrimonio</w:t>
      </w:r>
      <w:r w:rsidR="00F51768">
        <w:rPr>
          <w:lang w:val="it-IT"/>
        </w:rPr>
        <w:t>»</w:t>
      </w:r>
      <w:r w:rsidR="00F51768">
        <w:rPr>
          <w:rStyle w:val="Rimandonotaapidipagina"/>
          <w:lang w:val="it-IT"/>
        </w:rPr>
        <w:footnoteReference w:id="63"/>
      </w:r>
      <w:r w:rsidRPr="00501C2D">
        <w:rPr>
          <w:lang w:val="it-IT"/>
        </w:rPr>
        <w:t xml:space="preserve">. </w:t>
      </w:r>
      <w:r w:rsidR="00B7673D" w:rsidRPr="00501C2D">
        <w:rPr>
          <w:lang w:val="it-IT"/>
        </w:rPr>
        <w:t>Per garantire questa presenza attiva sin dall’inizio del processo, si potrebbe prevedere</w:t>
      </w:r>
      <w:r w:rsidR="006C7A53" w:rsidRPr="00501C2D">
        <w:rPr>
          <w:lang w:val="it-IT"/>
        </w:rPr>
        <w:t>, ad esempio,</w:t>
      </w:r>
      <w:r w:rsidR="00B7673D" w:rsidRPr="00501C2D">
        <w:rPr>
          <w:lang w:val="it-IT"/>
        </w:rPr>
        <w:t xml:space="preserve"> il requisito di un</w:t>
      </w:r>
      <w:r w:rsidR="00743B11" w:rsidRPr="00501C2D">
        <w:rPr>
          <w:lang w:val="it-IT"/>
        </w:rPr>
        <w:t xml:space="preserve"> parere previo del difensore del vincolo pri</w:t>
      </w:r>
      <w:r w:rsidR="006C7A53" w:rsidRPr="00501C2D">
        <w:rPr>
          <w:lang w:val="it-IT"/>
        </w:rPr>
        <w:t>ma dell’ammissione del li</w:t>
      </w:r>
      <w:r w:rsidR="00770AB3">
        <w:rPr>
          <w:lang w:val="it-IT"/>
        </w:rPr>
        <w:t>b</w:t>
      </w:r>
      <w:r w:rsidR="006C7A53" w:rsidRPr="00501C2D">
        <w:rPr>
          <w:lang w:val="it-IT"/>
        </w:rPr>
        <w:t>ello, nonché precisare meglio le sue mansioni nella fase istruttoria: la preparazione delle domande, la scelta del perito, la valutazione della perizia alla luce dell’antropologia cristiana, ecc.</w:t>
      </w:r>
    </w:p>
    <w:p w14:paraId="71AD4D4D" w14:textId="77777777" w:rsidR="00B7673D" w:rsidRPr="00501C2D" w:rsidRDefault="00B7673D" w:rsidP="00743B11">
      <w:pPr>
        <w:pStyle w:val="n"/>
        <w:widowControl/>
        <w:rPr>
          <w:lang w:val="it-IT"/>
        </w:rPr>
      </w:pPr>
      <w:r w:rsidRPr="00501C2D">
        <w:rPr>
          <w:lang w:val="it-IT"/>
        </w:rPr>
        <w:t xml:space="preserve">4.3.3. </w:t>
      </w:r>
      <w:r w:rsidRPr="007800F1">
        <w:rPr>
          <w:i/>
          <w:lang w:val="it-IT"/>
        </w:rPr>
        <w:t xml:space="preserve">La rimozione del </w:t>
      </w:r>
      <w:r w:rsidR="007800F1">
        <w:rPr>
          <w:i/>
          <w:lang w:val="it-IT"/>
        </w:rPr>
        <w:t>«</w:t>
      </w:r>
      <w:r w:rsidRPr="007800F1">
        <w:rPr>
          <w:i/>
          <w:lang w:val="it-IT"/>
        </w:rPr>
        <w:t>vetitum</w:t>
      </w:r>
      <w:r w:rsidR="007800F1">
        <w:rPr>
          <w:i/>
          <w:lang w:val="it-IT"/>
        </w:rPr>
        <w:t>»</w:t>
      </w:r>
    </w:p>
    <w:p w14:paraId="207B6F06" w14:textId="77777777" w:rsidR="00743B11" w:rsidRPr="00501C2D" w:rsidRDefault="006C7A53" w:rsidP="00743B11">
      <w:pPr>
        <w:pStyle w:val="n"/>
        <w:widowControl/>
        <w:rPr>
          <w:lang w:val="it-IT"/>
        </w:rPr>
      </w:pPr>
      <w:r w:rsidRPr="00501C2D">
        <w:rPr>
          <w:lang w:val="it-IT"/>
        </w:rPr>
        <w:t xml:space="preserve">Prima di concludere, vorrei fare un breve cenno al </w:t>
      </w:r>
      <w:r w:rsidRPr="00501C2D">
        <w:rPr>
          <w:i/>
          <w:lang w:val="it-IT"/>
        </w:rPr>
        <w:t>vetitum</w:t>
      </w:r>
      <w:r w:rsidRPr="00501C2D">
        <w:rPr>
          <w:lang w:val="it-IT"/>
        </w:rPr>
        <w:t xml:space="preserve"> e alla sua rimozione. </w:t>
      </w:r>
      <w:r w:rsidR="00B7673D" w:rsidRPr="00501C2D">
        <w:rPr>
          <w:lang w:val="it-IT"/>
        </w:rPr>
        <w:t>Uno dei motivi che non di rado è causa di scandalo tra i fedeli è il fatto che una persona il cui matrimonio è stato dichiarato nullo per incapacità psichica</w:t>
      </w:r>
      <w:r w:rsidR="007800F1">
        <w:rPr>
          <w:lang w:val="it-IT"/>
        </w:rPr>
        <w:t>,</w:t>
      </w:r>
      <w:r w:rsidR="00B7673D" w:rsidRPr="00501C2D">
        <w:rPr>
          <w:lang w:val="it-IT"/>
        </w:rPr>
        <w:t xml:space="preserve"> poi contragga subito un nuovo matrimonio. In questo senso, si potrebbe pensare a delle norme </w:t>
      </w:r>
      <w:r w:rsidR="00743B11" w:rsidRPr="00501C2D">
        <w:rPr>
          <w:lang w:val="it-IT"/>
        </w:rPr>
        <w:t xml:space="preserve">che rendano più efficace il </w:t>
      </w:r>
      <w:r w:rsidR="00743B11" w:rsidRPr="00501C2D">
        <w:rPr>
          <w:i/>
          <w:lang w:val="it-IT"/>
        </w:rPr>
        <w:t>vetitum</w:t>
      </w:r>
      <w:r w:rsidR="00743B11" w:rsidRPr="00501C2D">
        <w:rPr>
          <w:lang w:val="it-IT"/>
        </w:rPr>
        <w:t xml:space="preserve"> posto dal tribunale in caso di n</w:t>
      </w:r>
      <w:r w:rsidR="003C2089" w:rsidRPr="00501C2D">
        <w:rPr>
          <w:lang w:val="it-IT"/>
        </w:rPr>
        <w:t xml:space="preserve">ullità per incapacità psichica, implicando anche nella rimozione del </w:t>
      </w:r>
      <w:r w:rsidR="003C2089" w:rsidRPr="00501C2D">
        <w:rPr>
          <w:i/>
          <w:lang w:val="it-IT"/>
        </w:rPr>
        <w:t>vetitum</w:t>
      </w:r>
      <w:r w:rsidR="003C2089" w:rsidRPr="00501C2D">
        <w:rPr>
          <w:lang w:val="it-IT"/>
        </w:rPr>
        <w:t xml:space="preserve"> lo stesso tribunale che lo appose il quale, a mio parere</w:t>
      </w:r>
      <w:r w:rsidRPr="00501C2D">
        <w:rPr>
          <w:lang w:val="it-IT"/>
        </w:rPr>
        <w:t>,</w:t>
      </w:r>
      <w:r w:rsidR="003C2089" w:rsidRPr="00501C2D">
        <w:rPr>
          <w:lang w:val="it-IT"/>
        </w:rPr>
        <w:t xml:space="preserve"> avrebbe più elementi per valuta</w:t>
      </w:r>
      <w:r w:rsidRPr="00501C2D">
        <w:rPr>
          <w:lang w:val="it-IT"/>
        </w:rPr>
        <w:t>re se, nel caso concreto, quella</w:t>
      </w:r>
      <w:r w:rsidR="003C2089" w:rsidRPr="00501C2D">
        <w:rPr>
          <w:lang w:val="it-IT"/>
        </w:rPr>
        <w:t xml:space="preserve"> caus</w:t>
      </w:r>
      <w:r w:rsidRPr="00501C2D">
        <w:rPr>
          <w:lang w:val="it-IT"/>
        </w:rPr>
        <w:t>a</w:t>
      </w:r>
      <w:r w:rsidR="003C2089" w:rsidRPr="00501C2D">
        <w:rPr>
          <w:lang w:val="it-IT"/>
        </w:rPr>
        <w:t xml:space="preserve"> che rendeva incapace psichicamente, è venuta meno.</w:t>
      </w:r>
      <w:r w:rsidR="007800F1">
        <w:rPr>
          <w:lang w:val="it-IT"/>
        </w:rPr>
        <w:t xml:space="preserve"> Infine, riguardo alle conseguenze del </w:t>
      </w:r>
      <w:r w:rsidR="007800F1" w:rsidRPr="002D3122">
        <w:rPr>
          <w:i/>
          <w:lang w:val="it-IT"/>
        </w:rPr>
        <w:t>vetitum</w:t>
      </w:r>
      <w:r w:rsidR="007800F1">
        <w:rPr>
          <w:lang w:val="it-IT"/>
        </w:rPr>
        <w:t xml:space="preserve">, sarebbe utile </w:t>
      </w:r>
      <w:r w:rsidR="00CA4002">
        <w:rPr>
          <w:lang w:val="it-IT"/>
        </w:rPr>
        <w:t>considerare</w:t>
      </w:r>
      <w:r w:rsidR="007800F1">
        <w:rPr>
          <w:lang w:val="it-IT"/>
        </w:rPr>
        <w:t xml:space="preserve"> la </w:t>
      </w:r>
      <w:r w:rsidR="006C3F43">
        <w:rPr>
          <w:lang w:val="it-IT"/>
        </w:rPr>
        <w:t>possibilità che si possa</w:t>
      </w:r>
      <w:r w:rsidR="007800F1">
        <w:rPr>
          <w:lang w:val="it-IT"/>
        </w:rPr>
        <w:t xml:space="preserve"> aggiungere ad esso una clausola irritante.</w:t>
      </w:r>
    </w:p>
    <w:p w14:paraId="3A5EF559" w14:textId="77777777" w:rsidR="00B7673D" w:rsidRPr="00501C2D" w:rsidRDefault="00B7673D" w:rsidP="00743B11">
      <w:pPr>
        <w:pStyle w:val="n"/>
        <w:widowControl/>
        <w:tabs>
          <w:tab w:val="left" w:pos="2268"/>
        </w:tabs>
        <w:rPr>
          <w:b/>
          <w:lang w:val="it-IT"/>
        </w:rPr>
      </w:pPr>
      <w:r w:rsidRPr="00501C2D">
        <w:rPr>
          <w:b/>
          <w:lang w:val="it-IT"/>
        </w:rPr>
        <w:t>5. Conclusione</w:t>
      </w:r>
    </w:p>
    <w:p w14:paraId="67F72BB3" w14:textId="77777777" w:rsidR="00743B11" w:rsidRPr="00501C2D" w:rsidRDefault="00743B11" w:rsidP="00743B11">
      <w:pPr>
        <w:pStyle w:val="n"/>
        <w:widowControl/>
        <w:tabs>
          <w:tab w:val="left" w:pos="2268"/>
        </w:tabs>
        <w:rPr>
          <w:lang w:val="it-IT"/>
        </w:rPr>
      </w:pPr>
      <w:r w:rsidRPr="00501C2D">
        <w:rPr>
          <w:lang w:val="it-IT"/>
        </w:rPr>
        <w:t xml:space="preserve">Come dicevo </w:t>
      </w:r>
      <w:r w:rsidR="00B7673D" w:rsidRPr="00501C2D">
        <w:rPr>
          <w:lang w:val="it-IT"/>
        </w:rPr>
        <w:t xml:space="preserve">in precedenza, ritengo </w:t>
      </w:r>
      <w:r w:rsidRPr="00501C2D">
        <w:rPr>
          <w:lang w:val="it-IT"/>
        </w:rPr>
        <w:t>che sia evidente la necessità di un’azione del legislatore mirata a una migliore comprensione ed applicazione del canone sull’incapacità psichica e dei canoni che lo riguardano in ambito processuale.</w:t>
      </w:r>
    </w:p>
    <w:p w14:paraId="1054601A" w14:textId="77777777" w:rsidR="00743B11" w:rsidRPr="00501C2D" w:rsidRDefault="00743B11" w:rsidP="00743B11">
      <w:pPr>
        <w:pStyle w:val="n"/>
        <w:widowControl/>
        <w:rPr>
          <w:lang w:val="it-IT"/>
        </w:rPr>
      </w:pPr>
      <w:r w:rsidRPr="00501C2D">
        <w:rPr>
          <w:lang w:val="it-IT"/>
        </w:rPr>
        <w:t xml:space="preserve">Comunque sia, e con questo concludo, ritengo che </w:t>
      </w:r>
      <w:r w:rsidR="003C2089" w:rsidRPr="00501C2D">
        <w:rPr>
          <w:lang w:val="it-IT"/>
        </w:rPr>
        <w:t>sia necessaria una riforma del canone 1095</w:t>
      </w:r>
      <w:r w:rsidRPr="00501C2D">
        <w:rPr>
          <w:lang w:val="it-IT"/>
        </w:rPr>
        <w:t xml:space="preserve">, senza dimenticare, però, che un aspetto che non va trascurato è l’adeguata formazione di coloro che dovranno applicare il canone ai casi concreti, perché non esiste la legge umana perfetta, ma i buoni giudici e operatori del diritto, i quali si dovranno contraddistinguere per il loro amore </w:t>
      </w:r>
      <w:r w:rsidR="00770AB3">
        <w:rPr>
          <w:lang w:val="it-IT"/>
        </w:rPr>
        <w:t xml:space="preserve">per </w:t>
      </w:r>
      <w:r w:rsidRPr="00501C2D">
        <w:rPr>
          <w:lang w:val="it-IT"/>
        </w:rPr>
        <w:t>la verità e la giustizia, il sano realismo giuridico, e la fedeltà al Magistero della Chiesa sul matrimonio.</w:t>
      </w:r>
    </w:p>
    <w:sectPr w:rsidR="00743B11" w:rsidRPr="00501C2D" w:rsidSect="00AA4F95">
      <w:headerReference w:type="even" r:id="rId8"/>
      <w:headerReference w:type="default" r:id="rId9"/>
      <w:pgSz w:w="11899" w:h="16838"/>
      <w:pgMar w:top="1701" w:right="1701" w:bottom="1701" w:left="1701" w:header="1418" w:footer="1418"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DDBCA58" w14:textId="77777777" w:rsidR="0057532C" w:rsidRDefault="0057532C">
      <w:pPr>
        <w:spacing w:before="0" w:after="0"/>
      </w:pPr>
      <w:r>
        <w:separator/>
      </w:r>
    </w:p>
  </w:endnote>
  <w:endnote w:type="continuationSeparator" w:id="0">
    <w:p w14:paraId="4A12B3BF" w14:textId="77777777" w:rsidR="0057532C" w:rsidRDefault="0057532C">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Tahoma">
    <w:panose1 w:val="020B0604030504040204"/>
    <w:charset w:val="00"/>
    <w:family w:val="auto"/>
    <w:pitch w:val="variable"/>
    <w:sig w:usb0="E1002AFF" w:usb1="C000605B" w:usb2="00000029" w:usb3="00000000" w:csb0="000101FF" w:csb1="00000000"/>
  </w:font>
  <w:font w:name="Palatino">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FF77268" w14:textId="77777777" w:rsidR="0057532C" w:rsidRDefault="0057532C">
      <w:pPr>
        <w:spacing w:before="0" w:after="0"/>
      </w:pPr>
      <w:r>
        <w:separator/>
      </w:r>
    </w:p>
  </w:footnote>
  <w:footnote w:type="continuationSeparator" w:id="0">
    <w:p w14:paraId="6D8EBDAE" w14:textId="77777777" w:rsidR="0057532C" w:rsidRDefault="0057532C">
      <w:pPr>
        <w:spacing w:before="0" w:after="0"/>
      </w:pPr>
      <w:r>
        <w:continuationSeparator/>
      </w:r>
    </w:p>
  </w:footnote>
  <w:footnote w:id="1">
    <w:p w14:paraId="504896B5" w14:textId="77777777" w:rsidR="0057532C" w:rsidRPr="0002711A" w:rsidRDefault="0057532C" w:rsidP="0002711A">
      <w:pPr>
        <w:pStyle w:val="Testonotaapidipagina"/>
        <w:spacing w:before="120" w:after="0"/>
        <w:ind w:firstLine="567"/>
        <w:rPr>
          <w:rFonts w:ascii="Times New Roman" w:hAnsi="Times New Roman"/>
          <w:color w:val="141414"/>
          <w:lang w:val="it-IT"/>
        </w:rPr>
      </w:pPr>
      <w:r w:rsidRPr="0002711A">
        <w:rPr>
          <w:rStyle w:val="Caratteredellanota"/>
          <w:rFonts w:ascii="Times New Roman" w:hAnsi="Times New Roman"/>
          <w:lang w:val="it-IT"/>
        </w:rPr>
        <w:footnoteRef/>
      </w:r>
      <w:r w:rsidRPr="0002711A">
        <w:rPr>
          <w:rFonts w:ascii="Times New Roman" w:hAnsi="Times New Roman"/>
          <w:lang w:val="it-IT"/>
        </w:rPr>
        <w:t xml:space="preserve"> H. </w:t>
      </w:r>
      <w:r w:rsidRPr="0002711A">
        <w:rPr>
          <w:rFonts w:ascii="Times New Roman" w:hAnsi="Times New Roman"/>
          <w:smallCaps/>
          <w:lang w:val="it-IT"/>
        </w:rPr>
        <w:t>Franceschi</w:t>
      </w:r>
      <w:r w:rsidRPr="0002711A">
        <w:rPr>
          <w:rFonts w:ascii="Times New Roman" w:hAnsi="Times New Roman"/>
          <w:i/>
          <w:lang w:val="it-IT"/>
        </w:rPr>
        <w:t>, L'incapacità di assumere e l'incapacità relativa nella giurisprudenza più recente</w:t>
      </w:r>
      <w:r w:rsidRPr="0002711A">
        <w:rPr>
          <w:rFonts w:ascii="Times New Roman" w:hAnsi="Times New Roman"/>
          <w:lang w:val="it-IT"/>
        </w:rPr>
        <w:t xml:space="preserve">, in </w:t>
      </w:r>
      <w:r w:rsidRPr="0002711A">
        <w:rPr>
          <w:rFonts w:ascii="Times New Roman" w:hAnsi="Times New Roman"/>
          <w:i/>
          <w:lang w:val="it-IT"/>
        </w:rPr>
        <w:t>Ius Ecclesiae</w:t>
      </w:r>
      <w:r w:rsidRPr="0002711A">
        <w:rPr>
          <w:rFonts w:ascii="Times New Roman" w:hAnsi="Times New Roman"/>
          <w:lang w:val="it-IT"/>
        </w:rPr>
        <w:t xml:space="preserve">, 9 (1997), p. 145-199; </w:t>
      </w:r>
      <w:r w:rsidRPr="0002711A">
        <w:rPr>
          <w:rFonts w:ascii="Times New Roman" w:hAnsi="Times New Roman"/>
          <w:i/>
          <w:lang w:val="it-IT"/>
        </w:rPr>
        <w:t>L'incapacità relativa: 'status quaestionis' e prospettiva antropologico-giuridica</w:t>
      </w:r>
      <w:r w:rsidRPr="0002711A">
        <w:rPr>
          <w:rFonts w:ascii="Times New Roman" w:hAnsi="Times New Roman"/>
          <w:lang w:val="it-IT"/>
        </w:rPr>
        <w:t xml:space="preserve">, in AA.VV., </w:t>
      </w:r>
      <w:r w:rsidRPr="0002711A">
        <w:rPr>
          <w:rFonts w:ascii="Times New Roman" w:hAnsi="Times New Roman"/>
          <w:i/>
          <w:lang w:val="it-IT"/>
        </w:rPr>
        <w:t>L'incapacità di assumere gli oneri essenziali del matrimonio</w:t>
      </w:r>
      <w:r w:rsidRPr="0002711A">
        <w:rPr>
          <w:rFonts w:ascii="Times New Roman" w:hAnsi="Times New Roman"/>
          <w:lang w:val="it-IT"/>
        </w:rPr>
        <w:t xml:space="preserve">, Città del Vaticano 1998, p. 101-135; </w:t>
      </w:r>
      <w:r w:rsidRPr="0002711A">
        <w:rPr>
          <w:rFonts w:ascii="Times New Roman" w:hAnsi="Times New Roman"/>
          <w:i/>
          <w:lang w:val="it-IT"/>
        </w:rPr>
        <w:t>La incapacidad relativa: una respuesta desde la perspectiva antropológico-jurídica de Javier Hervada</w:t>
      </w:r>
      <w:r w:rsidRPr="0002711A">
        <w:rPr>
          <w:rFonts w:ascii="Times New Roman" w:hAnsi="Times New Roman"/>
          <w:lang w:val="it-IT"/>
        </w:rPr>
        <w:t xml:space="preserve">, in </w:t>
      </w:r>
      <w:r w:rsidRPr="0002711A">
        <w:rPr>
          <w:rFonts w:ascii="Times New Roman" w:hAnsi="Times New Roman"/>
          <w:i/>
          <w:lang w:val="it-IT"/>
        </w:rPr>
        <w:t>Escritos en honor de Javier Hervada</w:t>
      </w:r>
      <w:r w:rsidRPr="0002711A">
        <w:rPr>
          <w:rFonts w:ascii="Times New Roman" w:hAnsi="Times New Roman"/>
          <w:lang w:val="it-IT"/>
        </w:rPr>
        <w:t xml:space="preserve">, Pamplona 1999, p. 595-815; </w:t>
      </w:r>
      <w:r w:rsidRPr="0002711A">
        <w:rPr>
          <w:rFonts w:ascii="Times New Roman" w:hAnsi="Times New Roman"/>
          <w:i/>
          <w:lang w:val="it-IT"/>
        </w:rPr>
        <w:t>La incapacidad relativa en la doctrina y la jurisprudencia: una respuesta desde la perspectiva antropológico-jurídica</w:t>
      </w:r>
      <w:r w:rsidRPr="0002711A">
        <w:rPr>
          <w:rFonts w:ascii="Times New Roman" w:hAnsi="Times New Roman"/>
          <w:lang w:val="it-IT"/>
        </w:rPr>
        <w:t xml:space="preserve">, in AA.VV., </w:t>
      </w:r>
      <w:r w:rsidRPr="0002711A">
        <w:rPr>
          <w:rFonts w:ascii="Times New Roman" w:hAnsi="Times New Roman"/>
          <w:i/>
          <w:lang w:val="it-IT"/>
        </w:rPr>
        <w:t>Relevância Jurídica do Consentimiento Matrimonial</w:t>
      </w:r>
      <w:r w:rsidRPr="0002711A">
        <w:rPr>
          <w:rFonts w:ascii="Times New Roman" w:hAnsi="Times New Roman"/>
          <w:lang w:val="it-IT"/>
        </w:rPr>
        <w:t xml:space="preserve">, Lisboa 2001, p. 235-286; </w:t>
      </w:r>
      <w:r w:rsidRPr="0002711A">
        <w:rPr>
          <w:rFonts w:ascii="Times New Roman" w:hAnsi="Times New Roman"/>
          <w:i/>
          <w:lang w:val="it-IT"/>
        </w:rPr>
        <w:t>Incapacità relativa ed essenza del matrimonio in una recente sentenza rotale</w:t>
      </w:r>
      <w:r w:rsidRPr="0002711A">
        <w:rPr>
          <w:rFonts w:ascii="Times New Roman" w:hAnsi="Times New Roman"/>
          <w:lang w:val="it-IT"/>
        </w:rPr>
        <w:t xml:space="preserve">, in </w:t>
      </w:r>
      <w:r w:rsidRPr="0002711A">
        <w:rPr>
          <w:rFonts w:ascii="Times New Roman" w:hAnsi="Times New Roman"/>
          <w:i/>
          <w:lang w:val="it-IT"/>
        </w:rPr>
        <w:t>Ius Ecclesiae</w:t>
      </w:r>
      <w:r w:rsidRPr="0002711A">
        <w:rPr>
          <w:rFonts w:ascii="Times New Roman" w:hAnsi="Times New Roman"/>
          <w:lang w:val="it-IT"/>
        </w:rPr>
        <w:t xml:space="preserve"> 16 (2004), p. 678-680; </w:t>
      </w:r>
      <w:r w:rsidRPr="0002711A">
        <w:rPr>
          <w:rFonts w:ascii="Times New Roman" w:hAnsi="Times New Roman"/>
          <w:i/>
          <w:lang w:val="it-IT"/>
        </w:rPr>
        <w:t>A incapacidade para assumir as obrigações essenciais do matrimónio por causas de natureza psíquica</w:t>
      </w:r>
      <w:r w:rsidRPr="0002711A">
        <w:rPr>
          <w:rFonts w:ascii="Times New Roman" w:hAnsi="Times New Roman"/>
          <w:lang w:val="it-IT"/>
        </w:rPr>
        <w:t xml:space="preserve">, Associação Portuguesa de Canonistas, Cadernos 14, Lisboa 2007; </w:t>
      </w:r>
      <w:r w:rsidRPr="0002711A">
        <w:rPr>
          <w:rFonts w:ascii="Times New Roman" w:hAnsi="Times New Roman"/>
          <w:i/>
          <w:lang w:val="it-IT"/>
        </w:rPr>
        <w:t>A estrutura do cânon 1095 e as dimensões da incapacidade consensual</w:t>
      </w:r>
      <w:r w:rsidRPr="0002711A">
        <w:rPr>
          <w:rFonts w:ascii="Times New Roman" w:hAnsi="Times New Roman"/>
          <w:lang w:val="it-IT"/>
        </w:rPr>
        <w:t xml:space="preserve">, Associação Portuguesa de Canonistas, Cadernos 15, Lisboa 2007; </w:t>
      </w:r>
      <w:r w:rsidRPr="0002711A">
        <w:rPr>
          <w:rFonts w:ascii="Times New Roman" w:hAnsi="Times New Roman"/>
          <w:i/>
          <w:lang w:val="it-IT"/>
        </w:rPr>
        <w:t>La capacità per l’atto di volontà: relazione tra il difetto grave della discrezione di giudizio e l’incapacità di assumere gli obblighi essenziali del matrimonio in una recente sentenza c. Stankiewicz</w:t>
      </w:r>
      <w:r w:rsidRPr="0002711A">
        <w:rPr>
          <w:rFonts w:ascii="Times New Roman" w:hAnsi="Times New Roman"/>
          <w:lang w:val="it-IT"/>
        </w:rPr>
        <w:t xml:space="preserve">, in </w:t>
      </w:r>
      <w:r w:rsidRPr="0002711A">
        <w:rPr>
          <w:rFonts w:ascii="Times New Roman" w:hAnsi="Times New Roman"/>
          <w:i/>
          <w:lang w:val="it-IT"/>
        </w:rPr>
        <w:t>Ius Ecclesiae</w:t>
      </w:r>
      <w:r w:rsidRPr="0002711A">
        <w:rPr>
          <w:rFonts w:ascii="Times New Roman" w:hAnsi="Times New Roman"/>
          <w:lang w:val="it-IT"/>
        </w:rPr>
        <w:t xml:space="preserve"> 22 (2010), p. 107-148; </w:t>
      </w:r>
      <w:r w:rsidRPr="0002711A">
        <w:rPr>
          <w:rFonts w:ascii="Times New Roman" w:hAnsi="Times New Roman"/>
          <w:i/>
          <w:color w:val="000000"/>
          <w:lang w:val="it-IT"/>
        </w:rPr>
        <w:t>Consideraciones acerca de algunas cuestiones disputadas sobre el canon 1095</w:t>
      </w:r>
      <w:r w:rsidRPr="0002711A">
        <w:rPr>
          <w:rFonts w:ascii="Times New Roman" w:hAnsi="Times New Roman"/>
          <w:color w:val="000000"/>
          <w:lang w:val="it-IT"/>
        </w:rPr>
        <w:t xml:space="preserve">, in </w:t>
      </w:r>
      <w:r w:rsidRPr="0002711A">
        <w:rPr>
          <w:rFonts w:ascii="Times New Roman" w:hAnsi="Times New Roman"/>
          <w:i/>
          <w:color w:val="000000"/>
          <w:lang w:val="it-IT"/>
        </w:rPr>
        <w:t>Ius Canonicum</w:t>
      </w:r>
      <w:r w:rsidRPr="0002711A">
        <w:rPr>
          <w:rFonts w:ascii="Times New Roman" w:hAnsi="Times New Roman"/>
          <w:color w:val="000000"/>
          <w:lang w:val="it-IT"/>
        </w:rPr>
        <w:t xml:space="preserve"> </w:t>
      </w:r>
      <w:r w:rsidRPr="0002711A">
        <w:rPr>
          <w:rFonts w:ascii="Times New Roman" w:hAnsi="Times New Roman"/>
          <w:color w:val="141414"/>
          <w:lang w:val="it-IT"/>
        </w:rPr>
        <w:t xml:space="preserve">51 (2011), p. 449-478; </w:t>
      </w:r>
      <w:r w:rsidRPr="0002711A">
        <w:rPr>
          <w:rFonts w:ascii="Times New Roman" w:hAnsi="Times New Roman"/>
          <w:i/>
          <w:color w:val="141414"/>
          <w:lang w:val="it-IT"/>
        </w:rPr>
        <w:t>La struttura del canone 1095 e l’incapacità relativa</w:t>
      </w:r>
      <w:r w:rsidRPr="0002711A">
        <w:rPr>
          <w:rFonts w:ascii="Times New Roman" w:hAnsi="Times New Roman"/>
          <w:color w:val="141414"/>
          <w:lang w:val="it-IT"/>
        </w:rPr>
        <w:t xml:space="preserve">, in </w:t>
      </w:r>
      <w:r w:rsidRPr="0002711A">
        <w:rPr>
          <w:rFonts w:ascii="Times New Roman" w:hAnsi="Times New Roman"/>
          <w:smallCaps/>
          <w:lang w:val="it-IT"/>
        </w:rPr>
        <w:t>H. Franceschi-M.A. Ortiz</w:t>
      </w:r>
      <w:r w:rsidRPr="0002711A">
        <w:rPr>
          <w:rFonts w:ascii="Times New Roman" w:hAnsi="Times New Roman"/>
          <w:color w:val="141414"/>
          <w:lang w:val="it-IT"/>
        </w:rPr>
        <w:t xml:space="preserve"> (a cura di) </w:t>
      </w:r>
      <w:r w:rsidRPr="0002711A">
        <w:rPr>
          <w:rFonts w:ascii="Times New Roman" w:hAnsi="Times New Roman"/>
          <w:i/>
          <w:color w:val="141414"/>
          <w:lang w:val="it-IT"/>
        </w:rPr>
        <w:t>Discrezione di giudizio e capacità di assumere: la formulazione del canone 1095</w:t>
      </w:r>
      <w:r w:rsidRPr="0002711A">
        <w:rPr>
          <w:rFonts w:ascii="Times New Roman" w:hAnsi="Times New Roman"/>
          <w:color w:val="141414"/>
          <w:lang w:val="it-IT"/>
        </w:rPr>
        <w:t>, Giuffrè, Milano 2013, p. 223-258.</w:t>
      </w:r>
    </w:p>
  </w:footnote>
  <w:footnote w:id="2">
    <w:p w14:paraId="0BCA82E9" w14:textId="77777777" w:rsidR="0057532C" w:rsidRPr="0002711A" w:rsidRDefault="0057532C" w:rsidP="0002711A">
      <w:pPr>
        <w:pStyle w:val="Testonotaapidipagina"/>
        <w:spacing w:before="120" w:after="0"/>
        <w:ind w:firstLine="567"/>
        <w:rPr>
          <w:rFonts w:ascii="Times New Roman" w:hAnsi="Times New Roman"/>
          <w:lang w:val="it-IT"/>
        </w:rPr>
      </w:pPr>
      <w:r w:rsidRPr="0002711A">
        <w:rPr>
          <w:rStyle w:val="Rimandonotaapidipagina"/>
          <w:rFonts w:ascii="Times New Roman" w:hAnsi="Times New Roman"/>
        </w:rPr>
        <w:footnoteRef/>
      </w:r>
      <w:r w:rsidRPr="008E2121">
        <w:rPr>
          <w:rFonts w:ascii="Times New Roman" w:hAnsi="Times New Roman"/>
          <w:lang w:val="it-IT"/>
        </w:rPr>
        <w:t xml:space="preserve"> </w:t>
      </w:r>
      <w:r w:rsidRPr="008E2121">
        <w:rPr>
          <w:rFonts w:ascii="Times New Roman" w:hAnsi="Times New Roman"/>
          <w:smallCaps/>
          <w:lang w:val="it-IT"/>
        </w:rPr>
        <w:t>Giovanni Paolo II</w:t>
      </w:r>
      <w:r w:rsidRPr="008E2121">
        <w:rPr>
          <w:rFonts w:ascii="Times New Roman" w:hAnsi="Times New Roman"/>
          <w:lang w:val="it-IT"/>
        </w:rPr>
        <w:t xml:space="preserve">, </w:t>
      </w:r>
      <w:r w:rsidRPr="008E2121">
        <w:rPr>
          <w:rFonts w:ascii="Times New Roman" w:hAnsi="Times New Roman"/>
          <w:i/>
          <w:spacing w:val="-3"/>
          <w:lang w:val="it-IT"/>
        </w:rPr>
        <w:t>Discorso alla Rota Romana</w:t>
      </w:r>
      <w:r w:rsidRPr="008E2121">
        <w:rPr>
          <w:rFonts w:ascii="Times New Roman" w:hAnsi="Times New Roman"/>
          <w:spacing w:val="-3"/>
          <w:lang w:val="it-IT"/>
        </w:rPr>
        <w:t xml:space="preserve">, </w:t>
      </w:r>
      <w:r w:rsidRPr="008E2121">
        <w:rPr>
          <w:rFonts w:ascii="Times New Roman" w:hAnsi="Times New Roman"/>
          <w:lang w:val="it-IT"/>
        </w:rPr>
        <w:t xml:space="preserve">30 gennaio 1986, n. 6, in </w:t>
      </w:r>
      <w:r w:rsidRPr="008E2121">
        <w:rPr>
          <w:rFonts w:ascii="Times New Roman" w:hAnsi="Times New Roman"/>
          <w:i/>
          <w:lang w:val="it-IT"/>
        </w:rPr>
        <w:t>AAS</w:t>
      </w:r>
      <w:r w:rsidRPr="008E2121">
        <w:rPr>
          <w:rFonts w:ascii="Times New Roman" w:hAnsi="Times New Roman"/>
          <w:lang w:val="it-IT"/>
        </w:rPr>
        <w:t>, 78 (1986), p. 921-925.</w:t>
      </w:r>
    </w:p>
  </w:footnote>
  <w:footnote w:id="3">
    <w:p w14:paraId="730CE05C" w14:textId="77777777" w:rsidR="0057532C" w:rsidRPr="0002711A" w:rsidRDefault="0057532C" w:rsidP="0002711A">
      <w:pPr>
        <w:pStyle w:val="Testonotaapidipagina"/>
        <w:spacing w:before="120" w:after="0"/>
        <w:ind w:firstLine="567"/>
        <w:rPr>
          <w:rFonts w:ascii="Times New Roman" w:hAnsi="Times New Roman"/>
          <w:lang w:val="it-IT"/>
        </w:rPr>
      </w:pPr>
      <w:r w:rsidRPr="0002711A">
        <w:rPr>
          <w:rStyle w:val="Rimandonotaapidipagina"/>
          <w:rFonts w:ascii="Times New Roman" w:hAnsi="Times New Roman"/>
        </w:rPr>
        <w:footnoteRef/>
      </w:r>
      <w:r w:rsidRPr="008E2121">
        <w:rPr>
          <w:rFonts w:ascii="Times New Roman" w:hAnsi="Times New Roman"/>
          <w:lang w:val="it-IT"/>
        </w:rPr>
        <w:t xml:space="preserve"> </w:t>
      </w:r>
      <w:r w:rsidRPr="0002711A">
        <w:rPr>
          <w:rFonts w:ascii="Times New Roman" w:hAnsi="Times New Roman"/>
          <w:smallCaps/>
          <w:lang w:val="it-IT"/>
        </w:rPr>
        <w:t>Ibid</w:t>
      </w:r>
      <w:r w:rsidRPr="0002711A">
        <w:rPr>
          <w:rFonts w:ascii="Times New Roman" w:hAnsi="Times New Roman"/>
          <w:lang w:val="it-IT"/>
        </w:rPr>
        <w:t xml:space="preserve">., </w:t>
      </w:r>
      <w:r w:rsidRPr="008E2121">
        <w:rPr>
          <w:rFonts w:ascii="Times New Roman" w:hAnsi="Times New Roman"/>
          <w:i/>
          <w:spacing w:val="-3"/>
          <w:lang w:val="it-IT"/>
        </w:rPr>
        <w:t>Discorso alla Rota Romana</w:t>
      </w:r>
      <w:r w:rsidRPr="008E2121">
        <w:rPr>
          <w:rFonts w:ascii="Times New Roman" w:hAnsi="Times New Roman"/>
          <w:spacing w:val="-3"/>
          <w:lang w:val="it-IT"/>
        </w:rPr>
        <w:t xml:space="preserve">, </w:t>
      </w:r>
      <w:r w:rsidRPr="008E2121">
        <w:rPr>
          <w:rFonts w:ascii="Times New Roman" w:hAnsi="Times New Roman"/>
          <w:lang w:val="it-IT"/>
        </w:rPr>
        <w:t xml:space="preserve">5 febbraio 1987, n. 9, in </w:t>
      </w:r>
      <w:r w:rsidRPr="008E2121">
        <w:rPr>
          <w:rFonts w:ascii="Times New Roman" w:hAnsi="Times New Roman"/>
          <w:i/>
          <w:lang w:val="it-IT"/>
        </w:rPr>
        <w:t>AAS</w:t>
      </w:r>
      <w:r w:rsidRPr="008E2121">
        <w:rPr>
          <w:rFonts w:ascii="Times New Roman" w:hAnsi="Times New Roman"/>
          <w:lang w:val="it-IT"/>
        </w:rPr>
        <w:t>, 79 (1987), pp. 1453-1459.</w:t>
      </w:r>
    </w:p>
  </w:footnote>
  <w:footnote w:id="4">
    <w:p w14:paraId="500820B5" w14:textId="77777777" w:rsidR="0057532C" w:rsidRPr="0002711A" w:rsidRDefault="0057532C" w:rsidP="0002711A">
      <w:pPr>
        <w:pStyle w:val="Testonotaapidipagina"/>
        <w:spacing w:before="120" w:after="0"/>
        <w:ind w:firstLine="567"/>
        <w:rPr>
          <w:rFonts w:ascii="Times New Roman" w:hAnsi="Times New Roman"/>
          <w:lang w:val="it-IT"/>
        </w:rPr>
      </w:pPr>
      <w:r w:rsidRPr="0002711A">
        <w:rPr>
          <w:rStyle w:val="Rimandonotaapidipagina"/>
          <w:rFonts w:ascii="Times New Roman" w:hAnsi="Times New Roman"/>
        </w:rPr>
        <w:footnoteRef/>
      </w:r>
      <w:r w:rsidRPr="008E2121">
        <w:rPr>
          <w:rFonts w:ascii="Times New Roman" w:hAnsi="Times New Roman"/>
          <w:lang w:val="it-IT"/>
        </w:rPr>
        <w:t xml:space="preserve"> </w:t>
      </w:r>
      <w:r w:rsidRPr="0002711A">
        <w:rPr>
          <w:rFonts w:ascii="Times New Roman" w:hAnsi="Times New Roman"/>
          <w:smallCaps/>
          <w:lang w:val="it-IT"/>
        </w:rPr>
        <w:t>Giovanni Paolo II</w:t>
      </w:r>
      <w:r w:rsidRPr="0002711A">
        <w:rPr>
          <w:rFonts w:ascii="Times New Roman" w:hAnsi="Times New Roman"/>
          <w:lang w:val="it-IT"/>
        </w:rPr>
        <w:t xml:space="preserve">, </w:t>
      </w:r>
      <w:r w:rsidRPr="008E2121">
        <w:rPr>
          <w:rFonts w:ascii="Times New Roman" w:hAnsi="Times New Roman"/>
          <w:i/>
          <w:spacing w:val="-3"/>
          <w:lang w:val="it-IT"/>
        </w:rPr>
        <w:t>Discorsi alla Rota Romana</w:t>
      </w:r>
      <w:r w:rsidRPr="008E2121">
        <w:rPr>
          <w:rFonts w:ascii="Times New Roman" w:hAnsi="Times New Roman"/>
          <w:spacing w:val="-3"/>
          <w:lang w:val="it-IT"/>
        </w:rPr>
        <w:t xml:space="preserve">: </w:t>
      </w:r>
      <w:r w:rsidRPr="008E2121">
        <w:rPr>
          <w:rFonts w:ascii="Times New Roman" w:hAnsi="Times New Roman"/>
          <w:lang w:val="it-IT"/>
        </w:rPr>
        <w:t xml:space="preserve">5 febbraio 1987, in </w:t>
      </w:r>
      <w:r w:rsidRPr="008E2121">
        <w:rPr>
          <w:rFonts w:ascii="Times New Roman" w:hAnsi="Times New Roman"/>
          <w:i/>
          <w:lang w:val="it-IT"/>
        </w:rPr>
        <w:t>AAS</w:t>
      </w:r>
      <w:r w:rsidRPr="008E2121">
        <w:rPr>
          <w:rFonts w:ascii="Times New Roman" w:hAnsi="Times New Roman"/>
          <w:lang w:val="it-IT"/>
        </w:rPr>
        <w:t xml:space="preserve">, 79 (1987), p. 1453-1459; 25 gennaio 1988, in </w:t>
      </w:r>
      <w:r w:rsidRPr="008E2121">
        <w:rPr>
          <w:rFonts w:ascii="Times New Roman" w:hAnsi="Times New Roman"/>
          <w:i/>
          <w:lang w:val="it-IT"/>
        </w:rPr>
        <w:t>AAS</w:t>
      </w:r>
      <w:r w:rsidRPr="008E2121">
        <w:rPr>
          <w:rFonts w:ascii="Times New Roman" w:hAnsi="Times New Roman"/>
          <w:lang w:val="it-IT"/>
        </w:rPr>
        <w:t xml:space="preserve">, 80 (1988), p. 1178-1185; 27 gennaio 1997, in </w:t>
      </w:r>
      <w:r w:rsidRPr="008E2121">
        <w:rPr>
          <w:rFonts w:ascii="Times New Roman" w:hAnsi="Times New Roman"/>
          <w:i/>
          <w:lang w:val="it-IT"/>
        </w:rPr>
        <w:t>AAS</w:t>
      </w:r>
      <w:r w:rsidRPr="008E2121">
        <w:rPr>
          <w:rFonts w:ascii="Times New Roman" w:hAnsi="Times New Roman"/>
          <w:lang w:val="it-IT"/>
        </w:rPr>
        <w:t xml:space="preserve">, 89 (1997), p. 486-489; </w:t>
      </w:r>
      <w:r w:rsidRPr="0002711A">
        <w:rPr>
          <w:rFonts w:ascii="Times New Roman" w:hAnsi="Times New Roman"/>
          <w:smallCaps/>
          <w:lang w:val="it-IT"/>
        </w:rPr>
        <w:t>Benedetto XVI</w:t>
      </w:r>
      <w:r w:rsidRPr="0002711A">
        <w:rPr>
          <w:rFonts w:ascii="Times New Roman" w:hAnsi="Times New Roman"/>
          <w:lang w:val="it-IT"/>
        </w:rPr>
        <w:t xml:space="preserve">, </w:t>
      </w:r>
      <w:r w:rsidRPr="0002711A">
        <w:rPr>
          <w:rFonts w:ascii="Times New Roman" w:hAnsi="Times New Roman"/>
          <w:i/>
          <w:lang w:val="es-ES_tradnl"/>
        </w:rPr>
        <w:t>Discorso alla Rota Romana,</w:t>
      </w:r>
      <w:r w:rsidRPr="0002711A">
        <w:rPr>
          <w:rFonts w:ascii="Times New Roman" w:hAnsi="Times New Roman"/>
          <w:lang w:val="es-ES_tradnl"/>
        </w:rPr>
        <w:t xml:space="preserve"> </w:t>
      </w:r>
      <w:r w:rsidRPr="0002711A">
        <w:rPr>
          <w:rFonts w:ascii="Times New Roman" w:hAnsi="Times New Roman"/>
          <w:bCs/>
          <w:lang w:val="it-IT"/>
        </w:rPr>
        <w:t xml:space="preserve">29 gennaio 2009, in </w:t>
      </w:r>
      <w:r w:rsidRPr="0002711A">
        <w:rPr>
          <w:rFonts w:ascii="Times New Roman" w:hAnsi="Times New Roman"/>
          <w:bCs/>
          <w:i/>
          <w:lang w:val="it-IT"/>
        </w:rPr>
        <w:t>AAS</w:t>
      </w:r>
      <w:r w:rsidRPr="0002711A">
        <w:rPr>
          <w:rFonts w:ascii="Times New Roman" w:hAnsi="Times New Roman"/>
          <w:bCs/>
          <w:lang w:val="it-IT"/>
        </w:rPr>
        <w:t>, 101 (2009), p. 124-128.</w:t>
      </w:r>
    </w:p>
  </w:footnote>
  <w:footnote w:id="5">
    <w:p w14:paraId="62DBA02F" w14:textId="77777777" w:rsidR="0057532C" w:rsidRPr="0002711A" w:rsidRDefault="0057532C" w:rsidP="0002711A">
      <w:pPr>
        <w:pStyle w:val="Testonotaapidipagina"/>
        <w:spacing w:before="120" w:after="0"/>
        <w:ind w:firstLine="567"/>
        <w:rPr>
          <w:rFonts w:ascii="Times New Roman" w:hAnsi="Times New Roman"/>
          <w:lang w:val="it-IT"/>
        </w:rPr>
      </w:pPr>
      <w:r w:rsidRPr="0002711A">
        <w:rPr>
          <w:rStyle w:val="Rimandonotaapidipagina"/>
          <w:rFonts w:ascii="Times New Roman" w:hAnsi="Times New Roman"/>
        </w:rPr>
        <w:footnoteRef/>
      </w:r>
      <w:r w:rsidRPr="008E2121">
        <w:rPr>
          <w:rFonts w:ascii="Times New Roman" w:hAnsi="Times New Roman"/>
          <w:lang w:val="it-IT"/>
        </w:rPr>
        <w:t xml:space="preserve"> </w:t>
      </w:r>
      <w:r w:rsidRPr="0002711A">
        <w:rPr>
          <w:rFonts w:ascii="Times New Roman" w:hAnsi="Times New Roman"/>
          <w:smallCaps/>
          <w:lang w:val="it-IT"/>
        </w:rPr>
        <w:t>Benedetto XVI</w:t>
      </w:r>
      <w:r w:rsidRPr="0002711A">
        <w:rPr>
          <w:rFonts w:ascii="Times New Roman" w:hAnsi="Times New Roman"/>
          <w:lang w:val="it-IT"/>
        </w:rPr>
        <w:t xml:space="preserve">, </w:t>
      </w:r>
      <w:bookmarkStart w:id="1" w:name="OLE_LINK7"/>
      <w:bookmarkStart w:id="2" w:name="OLE_LINK8"/>
      <w:r w:rsidRPr="0002711A">
        <w:rPr>
          <w:rFonts w:ascii="Times New Roman" w:hAnsi="Times New Roman"/>
          <w:i/>
          <w:lang w:val="es-ES_tradnl"/>
        </w:rPr>
        <w:t>Discorso alla Rota Romana</w:t>
      </w:r>
      <w:r w:rsidRPr="0002711A">
        <w:rPr>
          <w:rFonts w:ascii="Times New Roman" w:hAnsi="Times New Roman"/>
          <w:lang w:val="es-ES_tradnl"/>
        </w:rPr>
        <w:t xml:space="preserve">, </w:t>
      </w:r>
      <w:bookmarkEnd w:id="1"/>
      <w:bookmarkEnd w:id="2"/>
      <w:r w:rsidRPr="0002711A">
        <w:rPr>
          <w:rFonts w:ascii="Times New Roman" w:hAnsi="Times New Roman"/>
          <w:bCs/>
          <w:lang w:val="it-IT"/>
        </w:rPr>
        <w:t xml:space="preserve">28 gennaio 2006, in </w:t>
      </w:r>
      <w:r w:rsidRPr="0002711A">
        <w:rPr>
          <w:rFonts w:ascii="Times New Roman" w:hAnsi="Times New Roman"/>
          <w:bCs/>
          <w:i/>
          <w:lang w:val="it-IT"/>
        </w:rPr>
        <w:t>AAS</w:t>
      </w:r>
      <w:r w:rsidRPr="0002711A">
        <w:rPr>
          <w:rFonts w:ascii="Times New Roman" w:hAnsi="Times New Roman"/>
          <w:bCs/>
          <w:lang w:val="it-IT"/>
        </w:rPr>
        <w:t>, 98 (2006), p. 135-138.</w:t>
      </w:r>
    </w:p>
  </w:footnote>
  <w:footnote w:id="6">
    <w:p w14:paraId="1E9D2283" w14:textId="77777777" w:rsidR="0057532C" w:rsidRPr="0002711A" w:rsidRDefault="0057532C" w:rsidP="0002711A">
      <w:pPr>
        <w:pStyle w:val="Testonotaapidipagina"/>
        <w:spacing w:before="120" w:after="0"/>
        <w:ind w:firstLine="567"/>
        <w:rPr>
          <w:rFonts w:ascii="Times New Roman" w:hAnsi="Times New Roman"/>
          <w:lang w:val="it-IT"/>
        </w:rPr>
      </w:pPr>
      <w:r w:rsidRPr="0002711A">
        <w:rPr>
          <w:rStyle w:val="Rimandonotaapidipagina"/>
          <w:rFonts w:ascii="Times New Roman" w:hAnsi="Times New Roman"/>
          <w:lang w:val="it-IT"/>
        </w:rPr>
        <w:footnoteRef/>
      </w:r>
      <w:r w:rsidRPr="0002711A">
        <w:rPr>
          <w:rFonts w:ascii="Times New Roman" w:hAnsi="Times New Roman"/>
          <w:lang w:val="it-IT"/>
        </w:rPr>
        <w:t xml:space="preserve"> </w:t>
      </w:r>
      <w:r w:rsidRPr="0002711A">
        <w:rPr>
          <w:rFonts w:ascii="Times New Roman" w:hAnsi="Times New Roman"/>
          <w:smallCaps/>
          <w:lang w:val="it-IT"/>
        </w:rPr>
        <w:t>Pontificio Consiglio per i Testi Legislativi</w:t>
      </w:r>
      <w:r w:rsidRPr="0002711A">
        <w:rPr>
          <w:rFonts w:ascii="Times New Roman" w:hAnsi="Times New Roman"/>
          <w:lang w:val="it-IT"/>
        </w:rPr>
        <w:t xml:space="preserve">, Istruzione </w:t>
      </w:r>
      <w:r w:rsidRPr="0002711A">
        <w:rPr>
          <w:rFonts w:ascii="Times New Roman" w:hAnsi="Times New Roman"/>
          <w:i/>
          <w:lang w:val="it-IT"/>
        </w:rPr>
        <w:t>Dignitas Connubii</w:t>
      </w:r>
      <w:r w:rsidRPr="0002711A">
        <w:rPr>
          <w:rFonts w:ascii="Times New Roman" w:hAnsi="Times New Roman"/>
          <w:lang w:val="it-IT"/>
        </w:rPr>
        <w:t>, 25 gennaio 2005.</w:t>
      </w:r>
    </w:p>
  </w:footnote>
  <w:footnote w:id="7">
    <w:p w14:paraId="0D41C399" w14:textId="77777777" w:rsidR="0057532C" w:rsidRPr="0002711A" w:rsidRDefault="0057532C" w:rsidP="0002711A">
      <w:pPr>
        <w:pStyle w:val="Testonotaapidipagina"/>
        <w:spacing w:before="120" w:after="0"/>
        <w:ind w:firstLine="567"/>
        <w:rPr>
          <w:rFonts w:ascii="Times New Roman" w:hAnsi="Times New Roman"/>
          <w:lang w:val="it-IT"/>
        </w:rPr>
      </w:pPr>
      <w:r w:rsidRPr="0002711A">
        <w:rPr>
          <w:rStyle w:val="Rimandonotaapidipagina"/>
          <w:rFonts w:ascii="Times New Roman" w:hAnsi="Times New Roman"/>
          <w:lang w:val="it-IT"/>
        </w:rPr>
        <w:footnoteRef/>
      </w:r>
      <w:r w:rsidRPr="0002711A">
        <w:rPr>
          <w:rFonts w:ascii="Times New Roman" w:hAnsi="Times New Roman"/>
          <w:lang w:val="it-IT"/>
        </w:rPr>
        <w:t xml:space="preserve"> </w:t>
      </w:r>
      <w:r w:rsidRPr="0002711A">
        <w:rPr>
          <w:rFonts w:ascii="Times New Roman" w:hAnsi="Times New Roman"/>
          <w:smallCaps/>
          <w:lang w:val="it-IT"/>
        </w:rPr>
        <w:t>H. Franceschi-M.A. Ortiz</w:t>
      </w:r>
      <w:r w:rsidRPr="0002711A">
        <w:rPr>
          <w:rFonts w:ascii="Times New Roman" w:hAnsi="Times New Roman"/>
          <w:lang w:val="it-IT"/>
        </w:rPr>
        <w:t xml:space="preserve"> (a cura di) </w:t>
      </w:r>
      <w:r w:rsidRPr="0002711A">
        <w:rPr>
          <w:rFonts w:ascii="Times New Roman" w:hAnsi="Times New Roman"/>
          <w:i/>
          <w:lang w:val="it-IT"/>
        </w:rPr>
        <w:t>Discrezione di giudizio e capacità di assumere: la formulazione del canone 1095</w:t>
      </w:r>
      <w:r w:rsidRPr="0002711A">
        <w:rPr>
          <w:rFonts w:ascii="Times New Roman" w:hAnsi="Times New Roman"/>
          <w:lang w:val="it-IT"/>
        </w:rPr>
        <w:t>, Giuffrè, Milano 2013.</w:t>
      </w:r>
    </w:p>
  </w:footnote>
  <w:footnote w:id="8">
    <w:p w14:paraId="2EF98D6A" w14:textId="77777777" w:rsidR="0057532C" w:rsidRPr="0002711A" w:rsidRDefault="0057532C" w:rsidP="0002711A">
      <w:pPr>
        <w:pStyle w:val="Testonotaapidipagina"/>
        <w:spacing w:before="120" w:after="0"/>
        <w:ind w:firstLine="567"/>
        <w:rPr>
          <w:rFonts w:ascii="Times New Roman" w:hAnsi="Times New Roman"/>
          <w:lang w:val="it-IT"/>
        </w:rPr>
      </w:pPr>
      <w:r w:rsidRPr="00DB5829">
        <w:rPr>
          <w:rStyle w:val="Caratteredellanota"/>
          <w:rFonts w:ascii="Times New Roman" w:hAnsi="Times New Roman"/>
          <w:vertAlign w:val="superscript"/>
          <w:lang w:val="it-IT"/>
        </w:rPr>
        <w:footnoteRef/>
      </w:r>
      <w:r w:rsidRPr="0002711A">
        <w:rPr>
          <w:rFonts w:ascii="Times New Roman" w:hAnsi="Times New Roman"/>
          <w:lang w:val="it-IT"/>
        </w:rPr>
        <w:t xml:space="preserve"> Cfr. c. Stankiewicz, </w:t>
      </w:r>
      <w:r w:rsidRPr="0002711A">
        <w:rPr>
          <w:rFonts w:ascii="Times New Roman" w:hAnsi="Times New Roman"/>
          <w:i/>
          <w:lang w:val="it-IT"/>
        </w:rPr>
        <w:t>Rapoten</w:t>
      </w:r>
      <w:r w:rsidRPr="0002711A">
        <w:rPr>
          <w:rFonts w:ascii="Times New Roman" w:hAnsi="Times New Roman"/>
          <w:lang w:val="it-IT"/>
        </w:rPr>
        <w:t xml:space="preserve">., 14 dicembre 2007 (Prot. N. 17.767), in </w:t>
      </w:r>
      <w:r w:rsidRPr="0002711A">
        <w:rPr>
          <w:rFonts w:ascii="Times New Roman" w:hAnsi="Times New Roman"/>
          <w:i/>
          <w:lang w:val="it-IT"/>
        </w:rPr>
        <w:t>Ius Ecclesiae</w:t>
      </w:r>
      <w:r w:rsidRPr="0002711A">
        <w:rPr>
          <w:rFonts w:ascii="Times New Roman" w:hAnsi="Times New Roman"/>
          <w:lang w:val="it-IT"/>
        </w:rPr>
        <w:t xml:space="preserve"> 22 (2010), p. 107-134 e il relativo commento: </w:t>
      </w:r>
      <w:r w:rsidRPr="0002711A">
        <w:rPr>
          <w:rFonts w:ascii="Times New Roman" w:hAnsi="Times New Roman"/>
          <w:smallCaps/>
          <w:lang w:val="it-IT"/>
        </w:rPr>
        <w:t>H. Franceschi</w:t>
      </w:r>
      <w:r w:rsidRPr="0002711A">
        <w:rPr>
          <w:rFonts w:ascii="Times New Roman" w:hAnsi="Times New Roman"/>
          <w:lang w:val="it-IT"/>
        </w:rPr>
        <w:t>,</w:t>
      </w:r>
      <w:r w:rsidRPr="0002711A">
        <w:rPr>
          <w:rFonts w:ascii="Times New Roman" w:hAnsi="Times New Roman"/>
          <w:i/>
          <w:lang w:val="it-IT"/>
        </w:rPr>
        <w:t xml:space="preserve"> La capacità per l’atto di volontà: relazione tra il difetto grave della discrezione di giudizio e l’incapacità di assumere gli obblighi essenziali del matrimonio in una recente sentenza c. Stankiewicz</w:t>
      </w:r>
      <w:r w:rsidRPr="0002711A">
        <w:rPr>
          <w:rFonts w:ascii="Times New Roman" w:hAnsi="Times New Roman"/>
          <w:lang w:val="it-IT"/>
        </w:rPr>
        <w:t xml:space="preserve">, in </w:t>
      </w:r>
      <w:r w:rsidRPr="0002711A">
        <w:rPr>
          <w:rFonts w:ascii="Times New Roman" w:hAnsi="Times New Roman"/>
          <w:i/>
          <w:lang w:val="it-IT"/>
        </w:rPr>
        <w:t>Ius Ecclesiae</w:t>
      </w:r>
      <w:r w:rsidRPr="0002711A">
        <w:rPr>
          <w:rFonts w:ascii="Times New Roman" w:hAnsi="Times New Roman"/>
          <w:lang w:val="it-IT"/>
        </w:rPr>
        <w:t xml:space="preserve"> 22 (2010), p. 134-148.</w:t>
      </w:r>
    </w:p>
  </w:footnote>
  <w:footnote w:id="9">
    <w:p w14:paraId="36B2E444" w14:textId="77777777" w:rsidR="0057532C" w:rsidRPr="0002711A" w:rsidRDefault="0057532C" w:rsidP="0002711A">
      <w:pPr>
        <w:pStyle w:val="Testonotaapidipagina"/>
        <w:spacing w:before="120" w:after="0"/>
        <w:ind w:firstLine="567"/>
        <w:rPr>
          <w:rFonts w:ascii="Times New Roman" w:hAnsi="Times New Roman"/>
          <w:lang w:val="it-IT"/>
        </w:rPr>
      </w:pPr>
      <w:r w:rsidRPr="00DB5829">
        <w:rPr>
          <w:rStyle w:val="Caratteredellanota"/>
          <w:rFonts w:ascii="Times New Roman" w:hAnsi="Times New Roman"/>
          <w:vertAlign w:val="superscript"/>
          <w:lang w:val="it-IT"/>
        </w:rPr>
        <w:footnoteRef/>
      </w:r>
      <w:r w:rsidRPr="0002711A">
        <w:rPr>
          <w:rFonts w:ascii="Times New Roman" w:hAnsi="Times New Roman"/>
          <w:lang w:val="it-IT"/>
        </w:rPr>
        <w:t xml:space="preserve"> Un’ottima raccolta di giurisprudenza rotale — schede e massime — si trova in </w:t>
      </w:r>
      <w:r w:rsidRPr="0002711A">
        <w:rPr>
          <w:rFonts w:ascii="Times New Roman" w:hAnsi="Times New Roman"/>
          <w:smallCaps/>
          <w:lang w:val="it-IT"/>
        </w:rPr>
        <w:t>C. Gullo</w:t>
      </w:r>
      <w:r w:rsidRPr="0002711A">
        <w:rPr>
          <w:rFonts w:ascii="Times New Roman" w:hAnsi="Times New Roman"/>
          <w:lang w:val="it-IT"/>
        </w:rPr>
        <w:t xml:space="preserve">, </w:t>
      </w:r>
      <w:r w:rsidRPr="0002711A">
        <w:rPr>
          <w:rFonts w:ascii="Times New Roman" w:hAnsi="Times New Roman"/>
          <w:i/>
          <w:lang w:val="it-IT"/>
        </w:rPr>
        <w:t>Massimario-schedario delle cause di immaturità affettiva (1967-1990)</w:t>
      </w:r>
      <w:r w:rsidRPr="0002711A">
        <w:rPr>
          <w:rFonts w:ascii="Times New Roman" w:hAnsi="Times New Roman"/>
          <w:lang w:val="it-IT"/>
        </w:rPr>
        <w:t xml:space="preserve">, in </w:t>
      </w:r>
      <w:r w:rsidRPr="0002711A">
        <w:rPr>
          <w:rFonts w:ascii="Times New Roman" w:hAnsi="Times New Roman"/>
          <w:smallCaps/>
          <w:lang w:val="it-IT"/>
        </w:rPr>
        <w:t>P.A. Bonnet e C. Gullo</w:t>
      </w:r>
      <w:r w:rsidRPr="0002711A">
        <w:rPr>
          <w:rFonts w:ascii="Times New Roman" w:hAnsi="Times New Roman"/>
          <w:lang w:val="it-IT"/>
        </w:rPr>
        <w:t xml:space="preserve"> (a cura di), </w:t>
      </w:r>
      <w:r w:rsidRPr="0002711A">
        <w:rPr>
          <w:rFonts w:ascii="Times New Roman" w:hAnsi="Times New Roman"/>
          <w:i/>
          <w:lang w:val="it-IT"/>
        </w:rPr>
        <w:t>L’immaturità psico-affettiva nella giurisprudenza della Rota Romana</w:t>
      </w:r>
      <w:r w:rsidRPr="0002711A">
        <w:rPr>
          <w:rFonts w:ascii="Times New Roman" w:hAnsi="Times New Roman"/>
          <w:lang w:val="it-IT"/>
        </w:rPr>
        <w:t>, Città del Vaticano 1990, p. 104-138. La giurisprudenza più recente non ha fatto che confermare l’indirizzo giurisprudenziale che afferma la non autonomia dell’immaturità affettiva, considerandola come causa possibile di uno dei tre numerali dell’incapacità per il consenso del can. 1095.</w:t>
      </w:r>
    </w:p>
  </w:footnote>
  <w:footnote w:id="10">
    <w:p w14:paraId="07EBC67E" w14:textId="77777777" w:rsidR="0057532C" w:rsidRPr="0002711A" w:rsidRDefault="0057532C" w:rsidP="0002711A">
      <w:pPr>
        <w:pStyle w:val="Testonotaapidipagina"/>
        <w:spacing w:before="120" w:after="0"/>
        <w:ind w:firstLine="567"/>
        <w:rPr>
          <w:rFonts w:ascii="Times New Roman" w:hAnsi="Times New Roman"/>
          <w:lang w:val="it-IT"/>
        </w:rPr>
      </w:pPr>
      <w:r w:rsidRPr="0002711A">
        <w:rPr>
          <w:rStyle w:val="Rimandonotaapidipagina"/>
          <w:rFonts w:ascii="Times New Roman" w:hAnsi="Times New Roman"/>
          <w:lang w:val="it-IT"/>
        </w:rPr>
        <w:footnoteRef/>
      </w:r>
      <w:r w:rsidRPr="0002711A">
        <w:rPr>
          <w:rFonts w:ascii="Times New Roman" w:hAnsi="Times New Roman"/>
          <w:lang w:val="it-IT"/>
        </w:rPr>
        <w:t xml:space="preserve"> Giovanni Paolo II, parlando delle perizie che si basano in un’antropologia incompatibile che quella cristiana, afferma: «Quindi anche i risultati peritali, influenzati dalle suddette visioni, costituiscono una reale occasione di inganno per il giudice che non intravveda l’equivoco antropologico iniziale. Attraverso queste perizie si finisce per confondere una maturità psichica che sarebbe il punto d’arrivo dello sviluppo umano, con la maturità canonica, che è invece il punto minimo di partenza per la validità del matrimonio» (</w:t>
      </w:r>
      <w:r w:rsidRPr="0002711A">
        <w:rPr>
          <w:rFonts w:ascii="Times New Roman" w:hAnsi="Times New Roman"/>
          <w:smallCaps/>
          <w:lang w:val="it-IT"/>
        </w:rPr>
        <w:t>Giovanni Paolo II</w:t>
      </w:r>
      <w:r w:rsidRPr="0002711A">
        <w:rPr>
          <w:rFonts w:ascii="Times New Roman" w:hAnsi="Times New Roman"/>
          <w:lang w:val="it-IT"/>
        </w:rPr>
        <w:t>,</w:t>
      </w:r>
      <w:r w:rsidRPr="008E2121">
        <w:rPr>
          <w:rFonts w:ascii="Times New Roman" w:hAnsi="Times New Roman"/>
          <w:lang w:val="it-IT"/>
        </w:rPr>
        <w:t xml:space="preserve"> </w:t>
      </w:r>
      <w:r w:rsidRPr="008E2121">
        <w:rPr>
          <w:rFonts w:ascii="Times New Roman" w:hAnsi="Times New Roman"/>
          <w:i/>
          <w:spacing w:val="-3"/>
          <w:lang w:val="it-IT"/>
        </w:rPr>
        <w:t>Discorso alla Rota Romana</w:t>
      </w:r>
      <w:r w:rsidRPr="008E2121">
        <w:rPr>
          <w:rFonts w:ascii="Times New Roman" w:hAnsi="Times New Roman"/>
          <w:spacing w:val="-3"/>
          <w:lang w:val="it-IT"/>
        </w:rPr>
        <w:t xml:space="preserve">, </w:t>
      </w:r>
      <w:r w:rsidRPr="008E2121">
        <w:rPr>
          <w:rFonts w:ascii="Times New Roman" w:hAnsi="Times New Roman"/>
          <w:lang w:val="it-IT"/>
        </w:rPr>
        <w:t xml:space="preserve">5 febbraio 1987, n. 6, in </w:t>
      </w:r>
      <w:r w:rsidRPr="008E2121">
        <w:rPr>
          <w:rFonts w:ascii="Times New Roman" w:hAnsi="Times New Roman"/>
          <w:i/>
          <w:lang w:val="it-IT"/>
        </w:rPr>
        <w:t>AAS</w:t>
      </w:r>
      <w:r w:rsidRPr="008E2121">
        <w:rPr>
          <w:rFonts w:ascii="Times New Roman" w:hAnsi="Times New Roman"/>
          <w:lang w:val="it-IT"/>
        </w:rPr>
        <w:t>, 79 (1987), p. 1453-1459</w:t>
      </w:r>
    </w:p>
  </w:footnote>
  <w:footnote w:id="11">
    <w:p w14:paraId="7B2A95AE" w14:textId="77777777" w:rsidR="0057532C" w:rsidRPr="0002711A" w:rsidRDefault="0057532C" w:rsidP="0002711A">
      <w:pPr>
        <w:pStyle w:val="Testonotaapidipagina"/>
        <w:spacing w:before="120" w:after="0"/>
        <w:ind w:firstLine="567"/>
        <w:rPr>
          <w:rFonts w:ascii="Times New Roman" w:hAnsi="Times New Roman"/>
          <w:lang w:val="it-IT"/>
        </w:rPr>
      </w:pPr>
      <w:r w:rsidRPr="00DB5829">
        <w:rPr>
          <w:rStyle w:val="Caratteredellanota"/>
          <w:rFonts w:ascii="Times New Roman" w:hAnsi="Times New Roman"/>
          <w:vertAlign w:val="superscript"/>
          <w:lang w:val="it-IT"/>
        </w:rPr>
        <w:footnoteRef/>
      </w:r>
      <w:r w:rsidRPr="0002711A">
        <w:rPr>
          <w:rFonts w:ascii="Times New Roman" w:hAnsi="Times New Roman"/>
          <w:lang w:val="it-IT"/>
        </w:rPr>
        <w:t xml:space="preserve"> Cfr. </w:t>
      </w:r>
      <w:r w:rsidRPr="0002711A">
        <w:rPr>
          <w:rFonts w:ascii="Times New Roman" w:hAnsi="Times New Roman"/>
          <w:smallCaps/>
          <w:lang w:val="it-IT"/>
        </w:rPr>
        <w:t>P.J. Viladrich</w:t>
      </w:r>
      <w:r w:rsidRPr="0002711A">
        <w:rPr>
          <w:rFonts w:ascii="Times New Roman" w:hAnsi="Times New Roman"/>
          <w:lang w:val="it-IT"/>
        </w:rPr>
        <w:t xml:space="preserve">, </w:t>
      </w:r>
      <w:r w:rsidRPr="0002711A">
        <w:rPr>
          <w:rFonts w:ascii="Times New Roman" w:hAnsi="Times New Roman"/>
          <w:i/>
          <w:lang w:val="it-IT"/>
        </w:rPr>
        <w:t xml:space="preserve">El consentimiento matrimonial, </w:t>
      </w:r>
      <w:r w:rsidRPr="0002711A">
        <w:rPr>
          <w:rFonts w:ascii="Times New Roman" w:hAnsi="Times New Roman"/>
          <w:lang w:val="it-IT"/>
        </w:rPr>
        <w:t>Pamplona 1998, p. 107-108.</w:t>
      </w:r>
    </w:p>
  </w:footnote>
  <w:footnote w:id="12">
    <w:p w14:paraId="2BBD201C" w14:textId="77777777" w:rsidR="0057532C" w:rsidRPr="0002711A" w:rsidRDefault="0057532C" w:rsidP="0002711A">
      <w:pPr>
        <w:pStyle w:val="Testonotaapidipagina"/>
        <w:spacing w:before="120" w:after="0"/>
        <w:ind w:firstLine="567"/>
        <w:rPr>
          <w:rFonts w:ascii="Times New Roman" w:hAnsi="Times New Roman"/>
          <w:lang w:val="it-IT"/>
        </w:rPr>
      </w:pPr>
      <w:r w:rsidRPr="00DB5829">
        <w:rPr>
          <w:rStyle w:val="Caratteredellanota"/>
          <w:rFonts w:ascii="Times New Roman" w:hAnsi="Times New Roman"/>
          <w:vertAlign w:val="superscript"/>
          <w:lang w:val="it-IT"/>
        </w:rPr>
        <w:footnoteRef/>
      </w:r>
      <w:r w:rsidRPr="0002711A">
        <w:rPr>
          <w:rFonts w:ascii="Times New Roman" w:hAnsi="Times New Roman"/>
          <w:lang w:val="it-IT"/>
        </w:rPr>
        <w:t xml:space="preserve"> </w:t>
      </w:r>
      <w:r w:rsidRPr="0002711A">
        <w:rPr>
          <w:rFonts w:ascii="Times New Roman" w:hAnsi="Times New Roman"/>
          <w:smallCaps/>
          <w:lang w:val="it-IT"/>
        </w:rPr>
        <w:t>P. Bianchi</w:t>
      </w:r>
      <w:r w:rsidRPr="0002711A">
        <w:rPr>
          <w:rFonts w:ascii="Times New Roman" w:hAnsi="Times New Roman"/>
          <w:lang w:val="it-IT"/>
        </w:rPr>
        <w:t xml:space="preserve">, </w:t>
      </w:r>
      <w:r w:rsidRPr="0002711A">
        <w:rPr>
          <w:rFonts w:ascii="Times New Roman" w:hAnsi="Times New Roman"/>
          <w:i/>
          <w:lang w:val="it-IT"/>
        </w:rPr>
        <w:t>Quando il matrimonio è nullo?,</w:t>
      </w:r>
      <w:r w:rsidRPr="0002711A">
        <w:rPr>
          <w:rFonts w:ascii="Times New Roman" w:hAnsi="Times New Roman"/>
          <w:lang w:val="it-IT"/>
        </w:rPr>
        <w:t xml:space="preserve"> Milano 1998, p. 195.</w:t>
      </w:r>
    </w:p>
  </w:footnote>
  <w:footnote w:id="13">
    <w:p w14:paraId="11859B3B" w14:textId="77777777" w:rsidR="0057532C" w:rsidRPr="0002711A" w:rsidRDefault="0057532C" w:rsidP="0002711A">
      <w:pPr>
        <w:pStyle w:val="Testonotaapidipagina"/>
        <w:spacing w:before="120" w:after="0"/>
        <w:ind w:firstLine="567"/>
        <w:rPr>
          <w:rFonts w:ascii="Times New Roman" w:hAnsi="Times New Roman"/>
          <w:lang w:val="it-IT"/>
        </w:rPr>
      </w:pPr>
      <w:r w:rsidRPr="00DB5829">
        <w:rPr>
          <w:rStyle w:val="Caratteredellanota"/>
          <w:rFonts w:ascii="Times New Roman" w:hAnsi="Times New Roman"/>
          <w:vertAlign w:val="superscript"/>
          <w:lang w:val="it-IT"/>
        </w:rPr>
        <w:footnoteRef/>
      </w:r>
      <w:r w:rsidRPr="0002711A">
        <w:rPr>
          <w:rFonts w:ascii="Times New Roman" w:hAnsi="Times New Roman"/>
          <w:lang w:val="it-IT"/>
        </w:rPr>
        <w:t xml:space="preserve"> </w:t>
      </w:r>
      <w:r w:rsidRPr="0002711A">
        <w:rPr>
          <w:rFonts w:ascii="Times New Roman" w:hAnsi="Times New Roman"/>
          <w:smallCaps/>
          <w:lang w:val="it-IT"/>
        </w:rPr>
        <w:t>C. Gullo</w:t>
      </w:r>
      <w:r w:rsidRPr="0002711A">
        <w:rPr>
          <w:rFonts w:ascii="Times New Roman" w:hAnsi="Times New Roman"/>
          <w:lang w:val="it-IT"/>
        </w:rPr>
        <w:t xml:space="preserve">, </w:t>
      </w:r>
      <w:r w:rsidRPr="0002711A">
        <w:rPr>
          <w:rFonts w:ascii="Times New Roman" w:hAnsi="Times New Roman"/>
          <w:i/>
          <w:lang w:val="it-IT"/>
        </w:rPr>
        <w:t>L’immaturità psico-affettiva nell’evolversi della giurisprudenza Rotale</w:t>
      </w:r>
      <w:r w:rsidRPr="0002711A">
        <w:rPr>
          <w:rFonts w:ascii="Times New Roman" w:hAnsi="Times New Roman"/>
          <w:lang w:val="it-IT"/>
        </w:rPr>
        <w:t>, cit., p. 95-103.</w:t>
      </w:r>
    </w:p>
  </w:footnote>
  <w:footnote w:id="14">
    <w:p w14:paraId="4DA0DDBB" w14:textId="77777777" w:rsidR="0057532C" w:rsidRPr="0002711A" w:rsidRDefault="0057532C" w:rsidP="0002711A">
      <w:pPr>
        <w:pStyle w:val="Testonotaapidipagina"/>
        <w:spacing w:before="120" w:after="0"/>
        <w:ind w:firstLine="567"/>
        <w:rPr>
          <w:rFonts w:ascii="Times New Roman" w:hAnsi="Times New Roman"/>
          <w:lang w:val="it-IT"/>
        </w:rPr>
      </w:pPr>
      <w:r w:rsidRPr="00DB5829">
        <w:rPr>
          <w:rStyle w:val="Caratteredellanota"/>
          <w:rFonts w:ascii="Times New Roman" w:hAnsi="Times New Roman"/>
          <w:vertAlign w:val="superscript"/>
          <w:lang w:val="it-IT"/>
        </w:rPr>
        <w:footnoteRef/>
      </w:r>
      <w:r w:rsidRPr="0002711A">
        <w:rPr>
          <w:rFonts w:ascii="Times New Roman" w:hAnsi="Times New Roman"/>
          <w:lang w:val="it-IT"/>
        </w:rPr>
        <w:t xml:space="preserve"> Cfr. </w:t>
      </w:r>
      <w:r w:rsidRPr="0002711A">
        <w:rPr>
          <w:rFonts w:ascii="Times New Roman" w:hAnsi="Times New Roman"/>
          <w:smallCaps/>
          <w:lang w:val="it-IT"/>
        </w:rPr>
        <w:t>C.J. Errázuriz</w:t>
      </w:r>
      <w:r w:rsidRPr="0002711A">
        <w:rPr>
          <w:rFonts w:ascii="Times New Roman" w:hAnsi="Times New Roman"/>
          <w:lang w:val="it-IT"/>
        </w:rPr>
        <w:t xml:space="preserve">, </w:t>
      </w:r>
      <w:r w:rsidRPr="0002711A">
        <w:rPr>
          <w:rFonts w:ascii="Times New Roman" w:hAnsi="Times New Roman"/>
          <w:i/>
          <w:lang w:val="it-IT"/>
        </w:rPr>
        <w:t>Inmadurez afectiva e incapacidad consensual</w:t>
      </w:r>
      <w:r w:rsidRPr="0002711A">
        <w:rPr>
          <w:rFonts w:ascii="Times New Roman" w:hAnsi="Times New Roman"/>
          <w:lang w:val="it-IT"/>
        </w:rPr>
        <w:t xml:space="preserve">, en AA.VV., </w:t>
      </w:r>
      <w:r w:rsidRPr="0002711A">
        <w:rPr>
          <w:rFonts w:ascii="Times New Roman" w:hAnsi="Times New Roman"/>
          <w:i/>
          <w:lang w:val="it-IT"/>
        </w:rPr>
        <w:t>Consentimiento matrimonial e inmadurez afectiva</w:t>
      </w:r>
      <w:r w:rsidRPr="0002711A">
        <w:rPr>
          <w:rFonts w:ascii="Times New Roman" w:hAnsi="Times New Roman"/>
          <w:lang w:val="it-IT"/>
        </w:rPr>
        <w:t>, edición dirigida por J.I. Bañares y J. Bosch, Pamplona 2005, p. 113-130.</w:t>
      </w:r>
    </w:p>
  </w:footnote>
  <w:footnote w:id="15">
    <w:p w14:paraId="2F672AB9" w14:textId="77777777" w:rsidR="0057532C" w:rsidRPr="0002711A" w:rsidRDefault="0057532C" w:rsidP="0002711A">
      <w:pPr>
        <w:pStyle w:val="Testonotaapidipagina"/>
        <w:spacing w:before="120" w:after="0"/>
        <w:ind w:firstLine="567"/>
        <w:rPr>
          <w:rFonts w:ascii="Times New Roman" w:hAnsi="Times New Roman"/>
          <w:lang w:val="it-IT"/>
        </w:rPr>
      </w:pPr>
      <w:r w:rsidRPr="00DB5829">
        <w:rPr>
          <w:rStyle w:val="Caratteredellanota"/>
          <w:rFonts w:ascii="Times New Roman" w:hAnsi="Times New Roman"/>
          <w:vertAlign w:val="superscript"/>
          <w:lang w:val="it-IT"/>
        </w:rPr>
        <w:footnoteRef/>
      </w:r>
      <w:r w:rsidRPr="0002711A">
        <w:rPr>
          <w:rFonts w:ascii="Times New Roman" w:hAnsi="Times New Roman"/>
          <w:lang w:val="it-IT"/>
        </w:rPr>
        <w:t xml:space="preserve"> </w:t>
      </w:r>
      <w:r w:rsidRPr="0002711A">
        <w:rPr>
          <w:rFonts w:ascii="Times New Roman" w:hAnsi="Times New Roman"/>
          <w:smallCaps/>
          <w:lang w:val="it-IT"/>
        </w:rPr>
        <w:t>J.J. García Faílde</w:t>
      </w:r>
      <w:r w:rsidRPr="0002711A">
        <w:rPr>
          <w:rFonts w:ascii="Times New Roman" w:hAnsi="Times New Roman"/>
          <w:lang w:val="it-IT"/>
        </w:rPr>
        <w:t xml:space="preserve">, La libertà psicologica e il matrimonio, in </w:t>
      </w:r>
      <w:r w:rsidRPr="0002711A">
        <w:rPr>
          <w:rFonts w:ascii="Times New Roman" w:hAnsi="Times New Roman"/>
          <w:i/>
          <w:lang w:val="it-IT"/>
        </w:rPr>
        <w:t>L’incapacità di intendere e di volere nel diritto matrimoniale canonico (can. 1095 nn. 1-2)</w:t>
      </w:r>
      <w:r w:rsidRPr="0002711A">
        <w:rPr>
          <w:rFonts w:ascii="Times New Roman" w:hAnsi="Times New Roman"/>
          <w:lang w:val="it-IT"/>
        </w:rPr>
        <w:t>, Città del Vaticano 2000, p. 42-43, nota 3.</w:t>
      </w:r>
    </w:p>
  </w:footnote>
  <w:footnote w:id="16">
    <w:p w14:paraId="23DEC23E" w14:textId="77777777" w:rsidR="0057532C" w:rsidRPr="0002711A" w:rsidRDefault="0057532C" w:rsidP="0002711A">
      <w:pPr>
        <w:pStyle w:val="Testonotaapidipagina"/>
        <w:spacing w:before="120" w:after="0"/>
        <w:ind w:firstLine="567"/>
        <w:rPr>
          <w:rFonts w:ascii="Times New Roman" w:hAnsi="Times New Roman"/>
          <w:lang w:val="it-IT"/>
        </w:rPr>
      </w:pPr>
      <w:r w:rsidRPr="00DB5829">
        <w:rPr>
          <w:rStyle w:val="Caratteredellanota"/>
          <w:rFonts w:ascii="Times New Roman" w:hAnsi="Times New Roman"/>
          <w:vertAlign w:val="superscript"/>
          <w:lang w:val="it-IT"/>
        </w:rPr>
        <w:footnoteRef/>
      </w:r>
      <w:r w:rsidRPr="0002711A">
        <w:rPr>
          <w:rFonts w:ascii="Times New Roman" w:hAnsi="Times New Roman"/>
          <w:lang w:val="it-IT"/>
        </w:rPr>
        <w:t xml:space="preserve"> </w:t>
      </w:r>
      <w:r w:rsidRPr="0002711A">
        <w:rPr>
          <w:rFonts w:ascii="Times New Roman" w:hAnsi="Times New Roman"/>
          <w:smallCaps/>
          <w:lang w:val="it-IT"/>
        </w:rPr>
        <w:t>J.J. García Faílde</w:t>
      </w:r>
      <w:r w:rsidRPr="0002711A">
        <w:rPr>
          <w:rFonts w:ascii="Times New Roman" w:hAnsi="Times New Roman"/>
          <w:lang w:val="it-IT"/>
        </w:rPr>
        <w:t xml:space="preserve">, </w:t>
      </w:r>
      <w:r w:rsidRPr="0002711A">
        <w:rPr>
          <w:rFonts w:ascii="Times New Roman" w:hAnsi="Times New Roman"/>
          <w:i/>
          <w:lang w:val="it-IT"/>
        </w:rPr>
        <w:t>Decreto: Falta de la requirida libertad en contrayente psíquicamente normal</w:t>
      </w:r>
      <w:r w:rsidRPr="0002711A">
        <w:rPr>
          <w:rFonts w:ascii="Times New Roman" w:hAnsi="Times New Roman"/>
          <w:lang w:val="it-IT"/>
        </w:rPr>
        <w:t xml:space="preserve"> in </w:t>
      </w:r>
      <w:r w:rsidRPr="0002711A">
        <w:rPr>
          <w:rFonts w:ascii="Times New Roman" w:hAnsi="Times New Roman"/>
          <w:i/>
          <w:lang w:val="it-IT"/>
        </w:rPr>
        <w:t>La nulidad matrimonial, hoy: doctrina y jurisprudencia</w:t>
      </w:r>
      <w:r w:rsidRPr="0002711A">
        <w:rPr>
          <w:rFonts w:ascii="Times New Roman" w:hAnsi="Times New Roman"/>
          <w:lang w:val="it-IT"/>
        </w:rPr>
        <w:t>, Barcellona 1994, p. 340.</w:t>
      </w:r>
    </w:p>
  </w:footnote>
  <w:footnote w:id="17">
    <w:p w14:paraId="33CE7F7E" w14:textId="77777777" w:rsidR="0057532C" w:rsidRPr="0002711A" w:rsidRDefault="0057532C" w:rsidP="0002711A">
      <w:pPr>
        <w:pStyle w:val="Testonotaapidipagina"/>
        <w:spacing w:before="120" w:after="0"/>
        <w:ind w:firstLine="567"/>
        <w:rPr>
          <w:rFonts w:ascii="Times New Roman" w:hAnsi="Times New Roman"/>
          <w:lang w:val="it-IT"/>
        </w:rPr>
      </w:pPr>
      <w:r w:rsidRPr="00DB5829">
        <w:rPr>
          <w:rStyle w:val="Caratteredellanota"/>
          <w:rFonts w:ascii="Times New Roman" w:hAnsi="Times New Roman"/>
          <w:vertAlign w:val="superscript"/>
          <w:lang w:val="it-IT"/>
        </w:rPr>
        <w:footnoteRef/>
      </w:r>
      <w:r w:rsidRPr="0002711A">
        <w:rPr>
          <w:rFonts w:ascii="Times New Roman" w:hAnsi="Times New Roman"/>
          <w:lang w:val="it-IT"/>
        </w:rPr>
        <w:t xml:space="preserve"> </w:t>
      </w:r>
      <w:r w:rsidRPr="0002711A">
        <w:rPr>
          <w:rFonts w:ascii="Times New Roman" w:hAnsi="Times New Roman"/>
          <w:smallCaps/>
          <w:lang w:val="it-IT"/>
        </w:rPr>
        <w:t>P. J. Viladrich</w:t>
      </w:r>
      <w:r w:rsidRPr="0002711A">
        <w:rPr>
          <w:rFonts w:ascii="Times New Roman" w:hAnsi="Times New Roman"/>
          <w:lang w:val="it-IT"/>
        </w:rPr>
        <w:t xml:space="preserve">, </w:t>
      </w:r>
      <w:r w:rsidRPr="0002711A">
        <w:rPr>
          <w:rFonts w:ascii="Times New Roman" w:hAnsi="Times New Roman"/>
          <w:i/>
          <w:lang w:val="it-IT"/>
        </w:rPr>
        <w:t>Il consenso matrimoniale</w:t>
      </w:r>
      <w:r w:rsidRPr="0002711A">
        <w:rPr>
          <w:rFonts w:ascii="Times New Roman" w:hAnsi="Times New Roman"/>
          <w:lang w:val="it-IT"/>
        </w:rPr>
        <w:t>, Milano 2001, p. 154-155.</w:t>
      </w:r>
    </w:p>
  </w:footnote>
  <w:footnote w:id="18">
    <w:p w14:paraId="13FDDCBE" w14:textId="77777777" w:rsidR="0057532C" w:rsidRPr="0002711A" w:rsidRDefault="0057532C" w:rsidP="0002711A">
      <w:pPr>
        <w:pStyle w:val="Testonotaapidipagina"/>
        <w:spacing w:before="120" w:after="0"/>
        <w:ind w:firstLine="567"/>
        <w:rPr>
          <w:rFonts w:ascii="Times New Roman" w:hAnsi="Times New Roman"/>
          <w:lang w:val="it-IT"/>
        </w:rPr>
      </w:pPr>
      <w:r w:rsidRPr="00DB5829">
        <w:rPr>
          <w:rStyle w:val="Caratteredellanota"/>
          <w:rFonts w:ascii="Times New Roman" w:hAnsi="Times New Roman"/>
          <w:vertAlign w:val="superscript"/>
          <w:lang w:val="it-IT"/>
        </w:rPr>
        <w:footnoteRef/>
      </w:r>
      <w:r w:rsidRPr="0002711A">
        <w:rPr>
          <w:rFonts w:ascii="Times New Roman" w:hAnsi="Times New Roman"/>
          <w:lang w:val="it-IT"/>
        </w:rPr>
        <w:t xml:space="preserve"> </w:t>
      </w:r>
      <w:r w:rsidRPr="0002711A">
        <w:rPr>
          <w:rFonts w:ascii="Times New Roman" w:hAnsi="Times New Roman"/>
          <w:smallCaps/>
          <w:lang w:val="it-IT"/>
        </w:rPr>
        <w:t>H. Franceschi</w:t>
      </w:r>
      <w:r w:rsidRPr="0002711A">
        <w:rPr>
          <w:rFonts w:ascii="Times New Roman" w:hAnsi="Times New Roman"/>
          <w:lang w:val="it-IT"/>
        </w:rPr>
        <w:t xml:space="preserve">, </w:t>
      </w:r>
      <w:r w:rsidRPr="0002711A">
        <w:rPr>
          <w:rFonts w:ascii="Times New Roman" w:hAnsi="Times New Roman"/>
          <w:i/>
          <w:lang w:val="it-IT"/>
        </w:rPr>
        <w:t>La struttura del can. 1095 e l’incapacità relativa</w:t>
      </w:r>
      <w:r w:rsidRPr="0002711A">
        <w:rPr>
          <w:rFonts w:ascii="Times New Roman" w:hAnsi="Times New Roman"/>
          <w:lang w:val="it-IT"/>
        </w:rPr>
        <w:t>, cit.</w:t>
      </w:r>
    </w:p>
  </w:footnote>
  <w:footnote w:id="19">
    <w:p w14:paraId="0D0A21F2" w14:textId="77777777" w:rsidR="0057532C" w:rsidRPr="0002711A" w:rsidRDefault="0057532C" w:rsidP="0002711A">
      <w:pPr>
        <w:pStyle w:val="Testonotaapidipagina"/>
        <w:spacing w:before="120" w:after="0"/>
        <w:ind w:firstLine="567"/>
        <w:rPr>
          <w:rFonts w:ascii="Times New Roman" w:hAnsi="Times New Roman"/>
          <w:lang w:val="it-IT"/>
        </w:rPr>
      </w:pPr>
      <w:r w:rsidRPr="00DB5829">
        <w:rPr>
          <w:rStyle w:val="Caratteredellanota"/>
          <w:rFonts w:ascii="Times New Roman" w:hAnsi="Times New Roman"/>
          <w:vertAlign w:val="superscript"/>
          <w:lang w:val="it-IT"/>
        </w:rPr>
        <w:footnoteRef/>
      </w:r>
      <w:r w:rsidRPr="0002711A">
        <w:rPr>
          <w:rFonts w:ascii="Times New Roman" w:hAnsi="Times New Roman"/>
          <w:lang w:val="it-IT"/>
        </w:rPr>
        <w:t xml:space="preserve"> c. Di Felice, </w:t>
      </w:r>
      <w:r w:rsidRPr="0002711A">
        <w:rPr>
          <w:rFonts w:ascii="Times New Roman" w:hAnsi="Times New Roman"/>
          <w:i/>
          <w:lang w:val="it-IT"/>
        </w:rPr>
        <w:t>Ruremunden</w:t>
      </w:r>
      <w:r w:rsidRPr="0002711A">
        <w:rPr>
          <w:rFonts w:ascii="Times New Roman" w:hAnsi="Times New Roman"/>
          <w:lang w:val="it-IT"/>
        </w:rPr>
        <w:t>., 12 novembre 1977, in RRDec., vol. LXIX, p. 453.</w:t>
      </w:r>
    </w:p>
  </w:footnote>
  <w:footnote w:id="20">
    <w:p w14:paraId="58C4E7E0" w14:textId="3CBF8F49" w:rsidR="0057532C" w:rsidRPr="0002711A" w:rsidRDefault="0057532C" w:rsidP="0002711A">
      <w:pPr>
        <w:pStyle w:val="Testonotaapidipagina"/>
        <w:spacing w:before="120" w:after="0"/>
        <w:ind w:firstLine="567"/>
        <w:rPr>
          <w:rFonts w:ascii="Times New Roman" w:hAnsi="Times New Roman"/>
          <w:lang w:val="it-IT"/>
        </w:rPr>
      </w:pPr>
      <w:r w:rsidRPr="00DB5829">
        <w:rPr>
          <w:rStyle w:val="Caratteredellanota"/>
          <w:rFonts w:ascii="Times New Roman" w:hAnsi="Times New Roman"/>
          <w:vertAlign w:val="superscript"/>
          <w:lang w:val="it-IT"/>
        </w:rPr>
        <w:footnoteRef/>
      </w:r>
      <w:r w:rsidRPr="0002711A">
        <w:rPr>
          <w:rFonts w:ascii="Times New Roman" w:hAnsi="Times New Roman"/>
          <w:lang w:val="it-IT"/>
        </w:rPr>
        <w:t xml:space="preserve"> Cfr. c. Pompedda, </w:t>
      </w:r>
      <w:r w:rsidRPr="0002711A">
        <w:rPr>
          <w:rFonts w:ascii="Times New Roman" w:hAnsi="Times New Roman"/>
          <w:i/>
          <w:lang w:val="it-IT"/>
        </w:rPr>
        <w:t>Marianopolitana</w:t>
      </w:r>
      <w:r w:rsidRPr="0002711A">
        <w:rPr>
          <w:rFonts w:ascii="Times New Roman" w:hAnsi="Times New Roman"/>
          <w:lang w:val="it-IT"/>
        </w:rPr>
        <w:t xml:space="preserve">, 19 febbraio 1982, in RRDec. vol. LXXIV, p. 90. Tra altri aspetti, la sentenza afferma che non riguarda la relazione tra i soggetti, ma obiettivamente gli obblighi essenziali </w:t>
      </w:r>
      <w:r>
        <w:rPr>
          <w:rFonts w:ascii="Times New Roman" w:hAnsi="Times New Roman"/>
          <w:lang w:val="it-IT"/>
        </w:rPr>
        <w:t>del matrimonio.</w:t>
      </w:r>
      <w:r w:rsidRPr="0002711A">
        <w:rPr>
          <w:rFonts w:ascii="Times New Roman" w:hAnsi="Times New Roman"/>
          <w:lang w:val="it-IT"/>
        </w:rPr>
        <w:t xml:space="preserve"> Perciò, non si deve confondere la maggiore o minore difficoltà per adempiere gli obblighi essenziali con questa o quest’altra persona, con l’impossibilità ad assumergli gli obblighi essenziale, che è la vera incapacità.</w:t>
      </w:r>
    </w:p>
  </w:footnote>
  <w:footnote w:id="21">
    <w:p w14:paraId="1500679A" w14:textId="77777777" w:rsidR="0057532C" w:rsidRPr="0002711A" w:rsidRDefault="0057532C" w:rsidP="0002711A">
      <w:pPr>
        <w:pStyle w:val="Testonotaapidipagina"/>
        <w:spacing w:before="120" w:after="0"/>
        <w:ind w:firstLine="567"/>
        <w:rPr>
          <w:rFonts w:ascii="Times New Roman" w:hAnsi="Times New Roman"/>
          <w:lang w:val="it-IT"/>
        </w:rPr>
      </w:pPr>
      <w:r w:rsidRPr="00DB5829">
        <w:rPr>
          <w:rStyle w:val="Caratteredellanota"/>
          <w:rFonts w:ascii="Times New Roman" w:hAnsi="Times New Roman"/>
          <w:vertAlign w:val="superscript"/>
          <w:lang w:val="it-IT"/>
        </w:rPr>
        <w:footnoteRef/>
      </w:r>
      <w:r w:rsidRPr="0002711A">
        <w:rPr>
          <w:rFonts w:ascii="Times New Roman" w:hAnsi="Times New Roman"/>
          <w:lang w:val="it-IT"/>
        </w:rPr>
        <w:t xml:space="preserve"> Cfr. c. Pompedda, </w:t>
      </w:r>
      <w:r w:rsidRPr="0002711A">
        <w:rPr>
          <w:rFonts w:ascii="Times New Roman" w:hAnsi="Times New Roman"/>
          <w:i/>
          <w:lang w:val="it-IT"/>
        </w:rPr>
        <w:t>Ruremunden</w:t>
      </w:r>
      <w:r w:rsidRPr="0002711A">
        <w:rPr>
          <w:rFonts w:ascii="Times New Roman" w:hAnsi="Times New Roman"/>
          <w:lang w:val="it-IT"/>
        </w:rPr>
        <w:t xml:space="preserve">., 19 ottobre 1990, in RRDec., vol. LXXXII, p. 689-690. Benché ci sia chi afferma, anche in giurisprudenza, che ci sarebbe un </w:t>
      </w:r>
      <w:r w:rsidRPr="0002711A">
        <w:rPr>
          <w:rFonts w:ascii="Times New Roman" w:hAnsi="Times New Roman"/>
          <w:i/>
          <w:lang w:val="it-IT"/>
        </w:rPr>
        <w:t>dubium iuris</w:t>
      </w:r>
      <w:r w:rsidRPr="0002711A">
        <w:rPr>
          <w:rFonts w:ascii="Times New Roman" w:hAnsi="Times New Roman"/>
          <w:lang w:val="it-IT"/>
        </w:rPr>
        <w:t xml:space="preserve"> sull’ammissibilità o meno dell’incapacità relativa, se teniamo conto della giurisprudenza rotale e delle chiare manifestazioni dello stesso legislatore nei suoi Discorsi alla Rota Romana, dovremmo affermare  che la giurisprudenza comune è quella del rifiuto della rilevanza giuridica della cosiddetta “incapacità relativa”. Inoltre, questa dottrina ci porterebbe facilmente alla confusione tra la vita matrimoniale infelice e il matrimonio nullo, dimenticando che l’infelicità o il fallimento spesso non dipendono dalla capacità ma dall’uso che le parti facciano della loro libertà. </w:t>
      </w:r>
    </w:p>
  </w:footnote>
  <w:footnote w:id="22">
    <w:p w14:paraId="4B932FA6" w14:textId="77777777" w:rsidR="0057532C" w:rsidRPr="0002711A" w:rsidRDefault="0057532C" w:rsidP="0002711A">
      <w:pPr>
        <w:pStyle w:val="Testonotaapidipagina"/>
        <w:spacing w:before="120" w:after="0"/>
        <w:ind w:firstLine="567"/>
        <w:rPr>
          <w:rFonts w:ascii="Times New Roman" w:hAnsi="Times New Roman"/>
          <w:lang w:val="it-IT"/>
        </w:rPr>
      </w:pPr>
      <w:r w:rsidRPr="00DB5829">
        <w:rPr>
          <w:rStyle w:val="Caratteredellanota"/>
          <w:rFonts w:ascii="Times New Roman" w:hAnsi="Times New Roman"/>
          <w:vertAlign w:val="superscript"/>
          <w:lang w:val="it-IT"/>
        </w:rPr>
        <w:footnoteRef/>
      </w:r>
      <w:r w:rsidRPr="0002711A">
        <w:rPr>
          <w:rFonts w:ascii="Times New Roman" w:hAnsi="Times New Roman"/>
          <w:lang w:val="it-IT"/>
        </w:rPr>
        <w:t xml:space="preserve"> Cfr. c. Civili, </w:t>
      </w:r>
      <w:r w:rsidRPr="0002711A">
        <w:rPr>
          <w:rFonts w:ascii="Times New Roman" w:hAnsi="Times New Roman"/>
          <w:i/>
          <w:lang w:val="it-IT"/>
        </w:rPr>
        <w:t xml:space="preserve">Mexicana, </w:t>
      </w:r>
      <w:r w:rsidRPr="0002711A">
        <w:rPr>
          <w:rFonts w:ascii="Times New Roman" w:hAnsi="Times New Roman"/>
          <w:lang w:val="it-IT"/>
        </w:rPr>
        <w:t>2 marzo 1993, n. 8, in RRDec. vol. LXXXV, p. 75-83.</w:t>
      </w:r>
    </w:p>
  </w:footnote>
  <w:footnote w:id="23">
    <w:p w14:paraId="6897CFB0" w14:textId="77777777" w:rsidR="0057532C" w:rsidRPr="0002711A" w:rsidRDefault="0057532C" w:rsidP="0002711A">
      <w:pPr>
        <w:pStyle w:val="Testonotaapidipagina"/>
        <w:spacing w:before="120" w:after="0"/>
        <w:ind w:firstLine="567"/>
        <w:rPr>
          <w:rFonts w:ascii="Times New Roman" w:hAnsi="Times New Roman"/>
          <w:lang w:val="it-IT"/>
        </w:rPr>
      </w:pPr>
      <w:r w:rsidRPr="00DB5829">
        <w:rPr>
          <w:rStyle w:val="Caratteredellanota"/>
          <w:rFonts w:ascii="Times New Roman" w:hAnsi="Times New Roman"/>
          <w:vertAlign w:val="superscript"/>
          <w:lang w:val="it-IT"/>
        </w:rPr>
        <w:footnoteRef/>
      </w:r>
      <w:r w:rsidRPr="0002711A">
        <w:rPr>
          <w:rFonts w:ascii="Times New Roman" w:hAnsi="Times New Roman"/>
          <w:lang w:val="it-IT"/>
        </w:rPr>
        <w:t xml:space="preserve"> Cfr. c. Funghini, </w:t>
      </w:r>
      <w:r w:rsidRPr="0002711A">
        <w:rPr>
          <w:rFonts w:ascii="Times New Roman" w:hAnsi="Times New Roman"/>
          <w:i/>
          <w:lang w:val="it-IT"/>
        </w:rPr>
        <w:t>Sancti Iacobi de Cile</w:t>
      </w:r>
      <w:r w:rsidRPr="0002711A">
        <w:rPr>
          <w:rFonts w:ascii="Times New Roman" w:hAnsi="Times New Roman"/>
          <w:lang w:val="it-IT"/>
        </w:rPr>
        <w:t>, 23 giugno 1993, n. 8, in RRDec. vol. LXXXV, p. 472.</w:t>
      </w:r>
    </w:p>
  </w:footnote>
  <w:footnote w:id="24">
    <w:p w14:paraId="230791B8" w14:textId="77777777" w:rsidR="0057532C" w:rsidRPr="0002711A" w:rsidRDefault="0057532C" w:rsidP="0002711A">
      <w:pPr>
        <w:pStyle w:val="Testonotaapidipagina"/>
        <w:spacing w:before="120" w:after="0"/>
        <w:ind w:firstLine="567"/>
        <w:rPr>
          <w:rFonts w:ascii="Times New Roman" w:hAnsi="Times New Roman"/>
          <w:lang w:val="it-IT"/>
        </w:rPr>
      </w:pPr>
      <w:r w:rsidRPr="00DB5829">
        <w:rPr>
          <w:rStyle w:val="Caratteredellanota"/>
          <w:rFonts w:ascii="Times New Roman" w:hAnsi="Times New Roman"/>
          <w:vertAlign w:val="superscript"/>
          <w:lang w:val="it-IT"/>
        </w:rPr>
        <w:footnoteRef/>
      </w:r>
      <w:r w:rsidRPr="0002711A">
        <w:rPr>
          <w:rFonts w:ascii="Times New Roman" w:hAnsi="Times New Roman"/>
          <w:lang w:val="it-IT"/>
        </w:rPr>
        <w:t xml:space="preserve"> Cfr. </w:t>
      </w:r>
      <w:r w:rsidRPr="0002711A">
        <w:rPr>
          <w:rFonts w:ascii="Times New Roman" w:hAnsi="Times New Roman"/>
          <w:smallCaps/>
          <w:lang w:val="it-IT"/>
        </w:rPr>
        <w:t>M.F. Pompedda,</w:t>
      </w:r>
      <w:r w:rsidRPr="0002711A">
        <w:rPr>
          <w:rFonts w:ascii="Times New Roman" w:hAnsi="Times New Roman"/>
          <w:lang w:val="it-IT"/>
        </w:rPr>
        <w:t xml:space="preserve"> </w:t>
      </w:r>
      <w:r w:rsidRPr="0002711A">
        <w:rPr>
          <w:rFonts w:ascii="Times New Roman" w:hAnsi="Times New Roman"/>
          <w:i/>
          <w:lang w:val="it-IT"/>
        </w:rPr>
        <w:t>Studi di diritto matrimoniale canonico,</w:t>
      </w:r>
      <w:r w:rsidRPr="0002711A">
        <w:rPr>
          <w:rFonts w:ascii="Times New Roman" w:hAnsi="Times New Roman"/>
          <w:lang w:val="it-IT"/>
        </w:rPr>
        <w:t xml:space="preserve"> Milano 1993, p. 117-124.</w:t>
      </w:r>
    </w:p>
  </w:footnote>
  <w:footnote w:id="25">
    <w:p w14:paraId="746E0034" w14:textId="77777777" w:rsidR="0057532C" w:rsidRPr="0002711A" w:rsidRDefault="0057532C" w:rsidP="0002711A">
      <w:pPr>
        <w:pStyle w:val="Testonotaapidipagina"/>
        <w:spacing w:before="120" w:after="0"/>
        <w:ind w:firstLine="567"/>
        <w:rPr>
          <w:rFonts w:ascii="Times New Roman" w:hAnsi="Times New Roman"/>
          <w:lang w:val="it-IT"/>
        </w:rPr>
      </w:pPr>
      <w:r w:rsidRPr="00DB5829">
        <w:rPr>
          <w:rStyle w:val="Caratteredellanota"/>
          <w:rFonts w:ascii="Times New Roman" w:hAnsi="Times New Roman"/>
          <w:vertAlign w:val="superscript"/>
          <w:lang w:val="it-IT"/>
        </w:rPr>
        <w:footnoteRef/>
      </w:r>
      <w:r w:rsidRPr="0002711A">
        <w:rPr>
          <w:rFonts w:ascii="Times New Roman" w:hAnsi="Times New Roman"/>
          <w:lang w:val="it-IT"/>
        </w:rPr>
        <w:t xml:space="preserve"> Cfr. </w:t>
      </w:r>
      <w:r w:rsidRPr="0002711A">
        <w:rPr>
          <w:rFonts w:ascii="Times New Roman" w:hAnsi="Times New Roman"/>
          <w:smallCaps/>
          <w:lang w:val="it-IT"/>
        </w:rPr>
        <w:t>Pontifico Consiglio per i Testi Legislativi</w:t>
      </w:r>
      <w:r w:rsidRPr="0002711A">
        <w:rPr>
          <w:rFonts w:ascii="Times New Roman" w:hAnsi="Times New Roman"/>
          <w:lang w:val="it-IT"/>
        </w:rPr>
        <w:t xml:space="preserve">, Istr. </w:t>
      </w:r>
      <w:r w:rsidRPr="0002711A">
        <w:rPr>
          <w:rFonts w:ascii="Times New Roman" w:hAnsi="Times New Roman"/>
          <w:i/>
          <w:lang w:val="it-IT"/>
        </w:rPr>
        <w:t>Dignitas Connubii</w:t>
      </w:r>
      <w:r w:rsidRPr="0002711A">
        <w:rPr>
          <w:rFonts w:ascii="Times New Roman" w:hAnsi="Times New Roman"/>
          <w:lang w:val="it-IT"/>
        </w:rPr>
        <w:t>, art. 205: «§ 1. All</w:t>
      </w:r>
      <w:r>
        <w:rPr>
          <w:rFonts w:ascii="Times New Roman" w:hAnsi="Times New Roman"/>
          <w:lang w:val="it-IT"/>
        </w:rPr>
        <w:t>’</w:t>
      </w:r>
      <w:r w:rsidRPr="0002711A">
        <w:rPr>
          <w:rFonts w:ascii="Times New Roman" w:hAnsi="Times New Roman"/>
          <w:lang w:val="it-IT"/>
        </w:rPr>
        <w:t>incarico peritale siano deputati coloro che, non soltanto possiedono un</w:t>
      </w:r>
      <w:r>
        <w:rPr>
          <w:rFonts w:ascii="Times New Roman" w:hAnsi="Times New Roman"/>
          <w:lang w:val="it-IT"/>
        </w:rPr>
        <w:t>’</w:t>
      </w:r>
      <w:r w:rsidRPr="0002711A">
        <w:rPr>
          <w:rFonts w:ascii="Times New Roman" w:hAnsi="Times New Roman"/>
          <w:lang w:val="it-IT"/>
        </w:rPr>
        <w:t>abilitazione professionale, ma sono anche ben qualificati per la loro scienza ed esperienza, e godano di buona reputazione per onestà e religiosità. § 2. Affinché l</w:t>
      </w:r>
      <w:r>
        <w:rPr>
          <w:rFonts w:ascii="Times New Roman" w:hAnsi="Times New Roman"/>
          <w:lang w:val="it-IT"/>
        </w:rPr>
        <w:t>’</w:t>
      </w:r>
      <w:r w:rsidRPr="0002711A">
        <w:rPr>
          <w:rFonts w:ascii="Times New Roman" w:hAnsi="Times New Roman"/>
          <w:lang w:val="it-IT"/>
        </w:rPr>
        <w:t>opera del perito, nelle cause concernenti l</w:t>
      </w:r>
      <w:r>
        <w:rPr>
          <w:rFonts w:ascii="Times New Roman" w:hAnsi="Times New Roman"/>
          <w:lang w:val="it-IT"/>
        </w:rPr>
        <w:t>’</w:t>
      </w:r>
      <w:r w:rsidRPr="0002711A">
        <w:rPr>
          <w:rFonts w:ascii="Times New Roman" w:hAnsi="Times New Roman"/>
          <w:lang w:val="it-IT"/>
        </w:rPr>
        <w:t>incapacità di cui al can. 1095, risulti realmente utile, si deve prestare la massima attenzione a scegliere periti che aderiscono ai principi dell</w:t>
      </w:r>
      <w:r>
        <w:rPr>
          <w:rFonts w:ascii="Times New Roman" w:hAnsi="Times New Roman"/>
          <w:lang w:val="it-IT"/>
        </w:rPr>
        <w:t>’</w:t>
      </w:r>
      <w:r w:rsidRPr="0002711A">
        <w:rPr>
          <w:rFonts w:ascii="Times New Roman" w:hAnsi="Times New Roman"/>
          <w:lang w:val="it-IT"/>
        </w:rPr>
        <w:t>antropologia cristiana».</w:t>
      </w:r>
    </w:p>
  </w:footnote>
  <w:footnote w:id="26">
    <w:p w14:paraId="3B0ACC38" w14:textId="77777777" w:rsidR="0057532C" w:rsidRPr="0002711A" w:rsidRDefault="0057532C" w:rsidP="0002711A">
      <w:pPr>
        <w:pStyle w:val="Testonotaapidipagina"/>
        <w:spacing w:before="120" w:after="0"/>
        <w:ind w:firstLine="567"/>
        <w:rPr>
          <w:rFonts w:ascii="Times New Roman" w:hAnsi="Times New Roman"/>
          <w:color w:val="000000"/>
          <w:lang w:val="it-IT"/>
        </w:rPr>
      </w:pPr>
      <w:r w:rsidRPr="00DB5829">
        <w:rPr>
          <w:rStyle w:val="Caratteredellanota"/>
          <w:rFonts w:ascii="Times New Roman" w:hAnsi="Times New Roman"/>
          <w:vertAlign w:val="superscript"/>
          <w:lang w:val="it-IT"/>
        </w:rPr>
        <w:footnoteRef/>
      </w:r>
      <w:r w:rsidRPr="0002711A">
        <w:rPr>
          <w:rFonts w:ascii="Times New Roman" w:hAnsi="Times New Roman"/>
          <w:lang w:val="it-IT"/>
        </w:rPr>
        <w:t xml:space="preserve"> Cfr. </w:t>
      </w:r>
      <w:r w:rsidRPr="0002711A">
        <w:rPr>
          <w:rFonts w:ascii="Times New Roman" w:hAnsi="Times New Roman"/>
          <w:smallCaps/>
          <w:lang w:val="it-IT"/>
        </w:rPr>
        <w:t>H. Franceschi</w:t>
      </w:r>
      <w:r w:rsidRPr="0002711A">
        <w:rPr>
          <w:rFonts w:ascii="Times New Roman" w:hAnsi="Times New Roman"/>
          <w:lang w:val="it-IT"/>
        </w:rPr>
        <w:t xml:space="preserve">, </w:t>
      </w:r>
      <w:r w:rsidRPr="0002711A">
        <w:rPr>
          <w:rFonts w:ascii="Times New Roman" w:hAnsi="Times New Roman"/>
          <w:i/>
          <w:color w:val="000000"/>
          <w:lang w:val="it-IT"/>
        </w:rPr>
        <w:t>Incapacità relativa ed essenza del matrimonio in una recente sentenza rotale</w:t>
      </w:r>
      <w:r w:rsidRPr="0002711A">
        <w:rPr>
          <w:rFonts w:ascii="Times New Roman" w:hAnsi="Times New Roman"/>
          <w:color w:val="000000"/>
          <w:lang w:val="it-IT"/>
        </w:rPr>
        <w:t xml:space="preserve">, in </w:t>
      </w:r>
      <w:r w:rsidRPr="0002711A">
        <w:rPr>
          <w:rFonts w:ascii="Times New Roman" w:hAnsi="Times New Roman"/>
          <w:i/>
          <w:color w:val="000000"/>
          <w:lang w:val="it-IT"/>
        </w:rPr>
        <w:t>Ius Ecclesiae</w:t>
      </w:r>
      <w:r w:rsidRPr="0002711A">
        <w:rPr>
          <w:rFonts w:ascii="Times New Roman" w:hAnsi="Times New Roman"/>
          <w:color w:val="000000"/>
          <w:lang w:val="it-IT"/>
        </w:rPr>
        <w:t xml:space="preserve"> 16 (2004), p. 678-680.</w:t>
      </w:r>
    </w:p>
  </w:footnote>
  <w:footnote w:id="27">
    <w:p w14:paraId="2849479A" w14:textId="77777777" w:rsidR="0057532C" w:rsidRPr="0002711A" w:rsidRDefault="0057532C" w:rsidP="0002711A">
      <w:pPr>
        <w:pStyle w:val="Testonotaapidipagina"/>
        <w:spacing w:before="120" w:after="0"/>
        <w:ind w:firstLine="567"/>
        <w:rPr>
          <w:rFonts w:ascii="Times New Roman" w:hAnsi="Times New Roman"/>
          <w:lang w:val="it-IT"/>
        </w:rPr>
      </w:pPr>
      <w:r w:rsidRPr="00DB5829">
        <w:rPr>
          <w:rStyle w:val="Caratteredellanota"/>
          <w:rFonts w:ascii="Times New Roman" w:hAnsi="Times New Roman"/>
          <w:vertAlign w:val="superscript"/>
          <w:lang w:val="it-IT"/>
        </w:rPr>
        <w:footnoteRef/>
      </w:r>
      <w:r w:rsidRPr="0002711A">
        <w:rPr>
          <w:rFonts w:ascii="Times New Roman" w:hAnsi="Times New Roman"/>
          <w:lang w:val="it-IT"/>
        </w:rPr>
        <w:t xml:space="preserve"> </w:t>
      </w:r>
      <w:r w:rsidRPr="0002711A">
        <w:rPr>
          <w:rFonts w:ascii="Times New Roman" w:hAnsi="Times New Roman"/>
          <w:smallCaps/>
          <w:lang w:val="it-IT"/>
        </w:rPr>
        <w:t>H. Franceschi</w:t>
      </w:r>
      <w:r w:rsidRPr="0002711A">
        <w:rPr>
          <w:rFonts w:ascii="Times New Roman" w:hAnsi="Times New Roman"/>
          <w:lang w:val="it-IT"/>
        </w:rPr>
        <w:t xml:space="preserve">, </w:t>
      </w:r>
      <w:r w:rsidRPr="0002711A">
        <w:rPr>
          <w:rFonts w:ascii="Times New Roman" w:hAnsi="Times New Roman"/>
          <w:i/>
          <w:lang w:val="it-IT"/>
        </w:rPr>
        <w:t>La capacità per l’atto di volontà: relazione tra il difetto grave della discrezione di giudizio e l’incapacità di assumere gli obblighi essenziali del matrimonio in una recente sentenza c. Stankiewicz</w:t>
      </w:r>
      <w:r w:rsidRPr="0002711A">
        <w:rPr>
          <w:rFonts w:ascii="Times New Roman" w:hAnsi="Times New Roman"/>
          <w:lang w:val="it-IT"/>
        </w:rPr>
        <w:t xml:space="preserve">, in </w:t>
      </w:r>
      <w:r w:rsidRPr="0002711A">
        <w:rPr>
          <w:rFonts w:ascii="Times New Roman" w:hAnsi="Times New Roman"/>
          <w:i/>
          <w:lang w:val="it-IT"/>
        </w:rPr>
        <w:t>Ius Ecclesiae</w:t>
      </w:r>
      <w:r w:rsidRPr="0002711A">
        <w:rPr>
          <w:rFonts w:ascii="Times New Roman" w:hAnsi="Times New Roman"/>
          <w:lang w:val="it-IT"/>
        </w:rPr>
        <w:t xml:space="preserve"> 22 (2010), p. 134-148.</w:t>
      </w:r>
    </w:p>
  </w:footnote>
  <w:footnote w:id="28">
    <w:p w14:paraId="1E4CAED2" w14:textId="77777777" w:rsidR="0057532C" w:rsidRPr="0002711A" w:rsidRDefault="0057532C" w:rsidP="0002711A">
      <w:pPr>
        <w:pStyle w:val="Testonotaapidipagina"/>
        <w:spacing w:before="120" w:after="0"/>
        <w:ind w:firstLine="567"/>
        <w:rPr>
          <w:rFonts w:ascii="Times New Roman" w:hAnsi="Times New Roman"/>
          <w:lang w:val="it-IT"/>
        </w:rPr>
      </w:pPr>
      <w:r w:rsidRPr="00DB5829">
        <w:rPr>
          <w:rStyle w:val="Caratteredellanota"/>
          <w:rFonts w:ascii="Times New Roman" w:hAnsi="Times New Roman"/>
          <w:vertAlign w:val="superscript"/>
          <w:lang w:val="it-IT"/>
        </w:rPr>
        <w:footnoteRef/>
      </w:r>
      <w:r w:rsidRPr="0002711A">
        <w:rPr>
          <w:rFonts w:ascii="Times New Roman" w:hAnsi="Times New Roman"/>
          <w:lang w:val="it-IT"/>
        </w:rPr>
        <w:t xml:space="preserve"> Per un approfondimento su questi temi, cfr. </w:t>
      </w:r>
      <w:r w:rsidRPr="0002711A">
        <w:rPr>
          <w:rFonts w:ascii="Times New Roman" w:hAnsi="Times New Roman"/>
          <w:smallCaps/>
          <w:lang w:val="it-IT"/>
        </w:rPr>
        <w:t>P. Bianchi</w:t>
      </w:r>
      <w:r w:rsidRPr="0002711A">
        <w:rPr>
          <w:rFonts w:ascii="Times New Roman" w:hAnsi="Times New Roman"/>
          <w:lang w:val="it-IT"/>
        </w:rPr>
        <w:t xml:space="preserve">, </w:t>
      </w:r>
      <w:r w:rsidRPr="0002711A">
        <w:rPr>
          <w:rFonts w:ascii="Times New Roman" w:hAnsi="Times New Roman"/>
          <w:i/>
          <w:lang w:val="it-IT"/>
        </w:rPr>
        <w:t>L’incapacità psichica al matrimonio: punti fermi e problemi aperti</w:t>
      </w:r>
      <w:r w:rsidRPr="0002711A">
        <w:rPr>
          <w:rFonts w:ascii="Times New Roman" w:hAnsi="Times New Roman"/>
          <w:lang w:val="it-IT"/>
        </w:rPr>
        <w:t xml:space="preserve">, in </w:t>
      </w:r>
      <w:r w:rsidRPr="0002711A">
        <w:rPr>
          <w:rFonts w:ascii="Times New Roman" w:hAnsi="Times New Roman"/>
          <w:i/>
          <w:lang w:val="it-IT"/>
        </w:rPr>
        <w:t>Quaderni di diritto ecclesiale</w:t>
      </w:r>
      <w:r w:rsidRPr="0002711A">
        <w:rPr>
          <w:rFonts w:ascii="Times New Roman" w:hAnsi="Times New Roman"/>
          <w:lang w:val="it-IT"/>
        </w:rPr>
        <w:t xml:space="preserve"> 22 (2009), p. 427-428.</w:t>
      </w:r>
    </w:p>
  </w:footnote>
  <w:footnote w:id="29">
    <w:p w14:paraId="7EDB79E3" w14:textId="77777777" w:rsidR="0057532C" w:rsidRPr="0002711A" w:rsidRDefault="0057532C" w:rsidP="0002711A">
      <w:pPr>
        <w:pStyle w:val="Testonotaapidipagina"/>
        <w:spacing w:before="120" w:after="0"/>
        <w:ind w:firstLine="567"/>
        <w:rPr>
          <w:rFonts w:ascii="Times New Roman" w:hAnsi="Times New Roman"/>
          <w:i/>
          <w:iCs/>
          <w:lang w:val="it-IT"/>
        </w:rPr>
      </w:pPr>
      <w:r w:rsidRPr="0002711A">
        <w:rPr>
          <w:rStyle w:val="Rimandonotaapidipagina"/>
          <w:rFonts w:ascii="Times New Roman" w:hAnsi="Times New Roman"/>
        </w:rPr>
        <w:footnoteRef/>
      </w:r>
      <w:r w:rsidRPr="00266DC2">
        <w:rPr>
          <w:rFonts w:ascii="Times New Roman" w:hAnsi="Times New Roman"/>
          <w:lang w:val="it-IT"/>
        </w:rPr>
        <w:t xml:space="preserve"> </w:t>
      </w:r>
      <w:r w:rsidRPr="0002711A">
        <w:rPr>
          <w:rFonts w:ascii="Times New Roman" w:hAnsi="Times New Roman"/>
          <w:smallCaps/>
          <w:lang w:val="it-IT"/>
        </w:rPr>
        <w:t>E. Tejero</w:t>
      </w:r>
      <w:r w:rsidRPr="0002711A">
        <w:rPr>
          <w:rFonts w:ascii="Times New Roman" w:hAnsi="Times New Roman"/>
          <w:lang w:val="it-IT"/>
        </w:rPr>
        <w:t xml:space="preserve">, </w:t>
      </w:r>
      <w:r w:rsidRPr="0002711A">
        <w:rPr>
          <w:rFonts w:ascii="Times New Roman" w:hAnsi="Times New Roman"/>
          <w:i/>
          <w:iCs/>
          <w:lang w:val="it-IT"/>
        </w:rPr>
        <w:t>¿Imposibilidad de cumplir o incapacidad de asumir las obligaciones esenciales del matrimonio?</w:t>
      </w:r>
      <w:r w:rsidRPr="0002711A">
        <w:rPr>
          <w:rFonts w:ascii="Times New Roman" w:hAnsi="Times New Roman"/>
          <w:lang w:val="it-IT"/>
        </w:rPr>
        <w:t>, Pamplona 2005, 1305 p.</w:t>
      </w:r>
    </w:p>
  </w:footnote>
  <w:footnote w:id="30">
    <w:p w14:paraId="44E0043B" w14:textId="77777777" w:rsidR="0057532C" w:rsidRPr="0002711A" w:rsidRDefault="0057532C" w:rsidP="0002711A">
      <w:pPr>
        <w:pStyle w:val="Testonotaapidipagina"/>
        <w:spacing w:before="120" w:after="0"/>
        <w:ind w:firstLine="567"/>
        <w:rPr>
          <w:rFonts w:ascii="Times New Roman" w:hAnsi="Times New Roman"/>
          <w:lang w:val="it-IT"/>
        </w:rPr>
      </w:pPr>
      <w:r w:rsidRPr="00DB5829">
        <w:rPr>
          <w:rStyle w:val="Caratteredellanota"/>
          <w:rFonts w:ascii="Times New Roman" w:hAnsi="Times New Roman"/>
          <w:vertAlign w:val="superscript"/>
          <w:lang w:val="it-IT"/>
        </w:rPr>
        <w:footnoteRef/>
      </w:r>
      <w:r w:rsidRPr="0002711A">
        <w:rPr>
          <w:rFonts w:ascii="Times New Roman" w:hAnsi="Times New Roman"/>
          <w:lang w:val="it-IT"/>
        </w:rPr>
        <w:t xml:space="preserve"> Anche buona parte della dottrina ha fatto propria questa distinzione tra il consenso-soggetto e il consenso-oggetto, che ha la sua origine nelle stesse discussioni del </w:t>
      </w:r>
      <w:r w:rsidRPr="0002711A">
        <w:rPr>
          <w:rFonts w:ascii="Times New Roman" w:hAnsi="Times New Roman"/>
          <w:i/>
          <w:lang w:val="it-IT"/>
        </w:rPr>
        <w:t>Coetus de matrimonio</w:t>
      </w:r>
      <w:r w:rsidRPr="0002711A">
        <w:rPr>
          <w:rFonts w:ascii="Times New Roman" w:hAnsi="Times New Roman"/>
          <w:lang w:val="it-IT"/>
        </w:rPr>
        <w:t xml:space="preserve"> durante il processo di codificazione. Cfr., per una valutazione della dottrina e della giurisprudenza recenti al riguardo, </w:t>
      </w:r>
      <w:r w:rsidRPr="0002711A">
        <w:rPr>
          <w:rFonts w:ascii="Times New Roman" w:hAnsi="Times New Roman"/>
          <w:smallCaps/>
          <w:lang w:val="it-IT"/>
        </w:rPr>
        <w:t>P. Bianchi</w:t>
      </w:r>
      <w:r w:rsidRPr="0002711A">
        <w:rPr>
          <w:rFonts w:ascii="Times New Roman" w:hAnsi="Times New Roman"/>
          <w:lang w:val="it-IT"/>
        </w:rPr>
        <w:t xml:space="preserve">, </w:t>
      </w:r>
      <w:r w:rsidRPr="0002711A">
        <w:rPr>
          <w:rFonts w:ascii="Times New Roman" w:hAnsi="Times New Roman"/>
          <w:i/>
          <w:lang w:val="it-IT"/>
        </w:rPr>
        <w:t>L’incapacità psichica al matrimonio: punti fermi e problemi aperti</w:t>
      </w:r>
      <w:r w:rsidRPr="0002711A">
        <w:rPr>
          <w:rFonts w:ascii="Times New Roman" w:hAnsi="Times New Roman"/>
          <w:lang w:val="it-IT"/>
        </w:rPr>
        <w:t xml:space="preserve">, in </w:t>
      </w:r>
      <w:r w:rsidRPr="0002711A">
        <w:rPr>
          <w:rFonts w:ascii="Times New Roman" w:hAnsi="Times New Roman"/>
          <w:i/>
          <w:lang w:val="it-IT"/>
        </w:rPr>
        <w:t>Quaderni di diritto ecclesiale</w:t>
      </w:r>
      <w:r w:rsidRPr="0002711A">
        <w:rPr>
          <w:rFonts w:ascii="Times New Roman" w:hAnsi="Times New Roman"/>
          <w:lang w:val="it-IT"/>
        </w:rPr>
        <w:t xml:space="preserve"> 22 (2009), p. 427-428: «si può ritenere che le due prime fattispecie del canone concernano l’intrinseca sufficienza del consenso sotto il profilo soggettivo, mentre la terza ne consideri l’efficacia per l’effettiva possibilità, appunto, dell’oggetto su cui l’atto di volontà è diretto».</w:t>
      </w:r>
    </w:p>
  </w:footnote>
  <w:footnote w:id="31">
    <w:p w14:paraId="610F348E" w14:textId="77777777" w:rsidR="0057532C" w:rsidRPr="0002711A" w:rsidRDefault="0057532C" w:rsidP="0002711A">
      <w:pPr>
        <w:pStyle w:val="Testonotaapidipagina"/>
        <w:spacing w:before="120" w:after="0"/>
        <w:ind w:firstLine="567"/>
        <w:rPr>
          <w:rFonts w:ascii="Times New Roman" w:hAnsi="Times New Roman"/>
          <w:lang w:val="it-IT"/>
        </w:rPr>
      </w:pPr>
      <w:r w:rsidRPr="00DB5829">
        <w:rPr>
          <w:rStyle w:val="Caratteredellanota"/>
          <w:rFonts w:ascii="Times New Roman" w:hAnsi="Times New Roman"/>
          <w:vertAlign w:val="superscript"/>
          <w:lang w:val="it-IT"/>
        </w:rPr>
        <w:footnoteRef/>
      </w:r>
      <w:r w:rsidRPr="0002711A">
        <w:rPr>
          <w:rFonts w:ascii="Times New Roman" w:hAnsi="Times New Roman"/>
          <w:lang w:val="it-IT"/>
        </w:rPr>
        <w:t xml:space="preserve"> c. Stankiewicz, 14 dicembre 2007, cit., n. 9: «in dilaudata quaestione hoc evenit quod praevalens et constans iurisprudentia rotalis in ambitu gravis defectus discretionis iudicii etiam alterationes activitatis volitivae, potissimum vero facultatis electivae, hucusque pertractare ac definire consuevit».</w:t>
      </w:r>
    </w:p>
  </w:footnote>
  <w:footnote w:id="32">
    <w:p w14:paraId="1F6025B9" w14:textId="77777777" w:rsidR="0057532C" w:rsidRPr="0002711A" w:rsidRDefault="0057532C" w:rsidP="0002711A">
      <w:pPr>
        <w:pStyle w:val="Testonotaapidipagina"/>
        <w:spacing w:before="120" w:after="0"/>
        <w:ind w:firstLine="567"/>
        <w:rPr>
          <w:rFonts w:ascii="Times New Roman" w:hAnsi="Times New Roman"/>
          <w:lang w:val="it-IT"/>
        </w:rPr>
      </w:pPr>
      <w:r w:rsidRPr="00DB5829">
        <w:rPr>
          <w:rStyle w:val="Caratteredellanota"/>
          <w:rFonts w:ascii="Times New Roman" w:hAnsi="Times New Roman"/>
          <w:vertAlign w:val="superscript"/>
          <w:lang w:val="it-IT"/>
        </w:rPr>
        <w:footnoteRef/>
      </w:r>
      <w:r w:rsidRPr="0002711A">
        <w:rPr>
          <w:rFonts w:ascii="Times New Roman" w:hAnsi="Times New Roman"/>
          <w:lang w:val="it-IT"/>
        </w:rPr>
        <w:t xml:space="preserve"> </w:t>
      </w:r>
      <w:r w:rsidRPr="0002711A">
        <w:rPr>
          <w:rFonts w:ascii="Times New Roman" w:hAnsi="Times New Roman"/>
          <w:smallCaps/>
          <w:lang w:val="it-IT"/>
        </w:rPr>
        <w:t>J. Hervada</w:t>
      </w:r>
      <w:r w:rsidRPr="0002711A">
        <w:rPr>
          <w:rFonts w:ascii="Times New Roman" w:hAnsi="Times New Roman"/>
          <w:lang w:val="it-IT"/>
        </w:rPr>
        <w:t xml:space="preserve">, </w:t>
      </w:r>
      <w:r w:rsidRPr="0002711A">
        <w:rPr>
          <w:rFonts w:ascii="Times New Roman" w:hAnsi="Times New Roman"/>
          <w:i/>
          <w:lang w:val="it-IT"/>
        </w:rPr>
        <w:t>Studi sull’essenza del matrimonio</w:t>
      </w:r>
      <w:r w:rsidRPr="0002711A">
        <w:rPr>
          <w:rFonts w:ascii="Times New Roman" w:hAnsi="Times New Roman"/>
          <w:lang w:val="it-IT"/>
        </w:rPr>
        <w:t>, Milano 2000, p. 303-304.</w:t>
      </w:r>
    </w:p>
  </w:footnote>
  <w:footnote w:id="33">
    <w:p w14:paraId="4693E088" w14:textId="77777777" w:rsidR="0057532C" w:rsidRPr="0002711A" w:rsidRDefault="0057532C" w:rsidP="0002711A">
      <w:pPr>
        <w:pStyle w:val="Testonotaapidipagina"/>
        <w:spacing w:before="120" w:after="0"/>
        <w:ind w:firstLine="567"/>
        <w:rPr>
          <w:rFonts w:ascii="Times New Roman" w:hAnsi="Times New Roman"/>
          <w:lang w:val="it-IT"/>
        </w:rPr>
      </w:pPr>
      <w:r w:rsidRPr="00DB5829">
        <w:rPr>
          <w:rStyle w:val="Caratteredellanota"/>
          <w:rFonts w:ascii="Times New Roman" w:hAnsi="Times New Roman"/>
          <w:vertAlign w:val="superscript"/>
          <w:lang w:val="it-IT"/>
        </w:rPr>
        <w:footnoteRef/>
      </w:r>
      <w:r w:rsidRPr="0002711A">
        <w:rPr>
          <w:rFonts w:ascii="Times New Roman" w:hAnsi="Times New Roman"/>
          <w:lang w:val="it-IT"/>
        </w:rPr>
        <w:t xml:space="preserve"> Navarrete afferma che il motivo di questa clausola fu quello di evitare il pericolo di abusi</w:t>
      </w:r>
      <w:r w:rsidRPr="0002711A">
        <w:rPr>
          <w:rFonts w:ascii="Times New Roman" w:hAnsi="Times New Roman"/>
          <w:color w:val="000000"/>
          <w:lang w:val="it-IT"/>
        </w:rPr>
        <w:t>, ma afferma</w:t>
      </w:r>
      <w:r w:rsidRPr="0002711A">
        <w:rPr>
          <w:rFonts w:ascii="Times New Roman" w:hAnsi="Times New Roman"/>
          <w:b/>
          <w:color w:val="000000"/>
          <w:lang w:val="it-IT"/>
        </w:rPr>
        <w:t xml:space="preserve"> </w:t>
      </w:r>
      <w:r w:rsidRPr="0002711A">
        <w:rPr>
          <w:rFonts w:ascii="Times New Roman" w:hAnsi="Times New Roman"/>
          <w:color w:val="000000"/>
          <w:lang w:val="it-IT"/>
        </w:rPr>
        <w:t>che essa non sarebbe necessaria, potrebbe generare confusione, e porrebbe «</w:t>
      </w:r>
      <w:r w:rsidRPr="0002711A">
        <w:rPr>
          <w:rFonts w:ascii="Times New Roman" w:hAnsi="Times New Roman"/>
          <w:lang w:val="it-IT"/>
        </w:rPr>
        <w:t>una limitación no comprobada científicamente al principio general, expresión del derecho natural, según el cual “</w:t>
      </w:r>
      <w:r w:rsidRPr="0002711A">
        <w:rPr>
          <w:rFonts w:ascii="Times New Roman" w:hAnsi="Times New Roman"/>
          <w:i/>
          <w:lang w:val="it-IT"/>
        </w:rPr>
        <w:t>ad impossibile nemo potest se obligare</w:t>
      </w:r>
      <w:r w:rsidRPr="0002711A">
        <w:rPr>
          <w:rFonts w:ascii="Times New Roman" w:hAnsi="Times New Roman"/>
          <w:iCs/>
          <w:lang w:val="it-IT"/>
        </w:rPr>
        <w:t>”</w:t>
      </w:r>
      <w:r w:rsidRPr="0002711A">
        <w:rPr>
          <w:rFonts w:ascii="Times New Roman" w:hAnsi="Times New Roman"/>
          <w:lang w:val="it-IT"/>
        </w:rPr>
        <w:t>, sea cual fuere el origen de la imposibilidad» (</w:t>
      </w:r>
      <w:r w:rsidRPr="0002711A">
        <w:rPr>
          <w:rFonts w:ascii="Times New Roman" w:hAnsi="Times New Roman"/>
          <w:smallCaps/>
          <w:lang w:val="it-IT"/>
        </w:rPr>
        <w:t>U. Navarrete</w:t>
      </w:r>
      <w:r w:rsidRPr="0002711A">
        <w:rPr>
          <w:rFonts w:ascii="Times New Roman" w:hAnsi="Times New Roman"/>
          <w:lang w:val="it-IT"/>
        </w:rPr>
        <w:t xml:space="preserve">, </w:t>
      </w:r>
      <w:r w:rsidRPr="0002711A">
        <w:rPr>
          <w:rFonts w:ascii="Times New Roman" w:hAnsi="Times New Roman"/>
          <w:i/>
          <w:lang w:val="it-IT"/>
        </w:rPr>
        <w:t>Derecho matrimonial canónico. Evolución a la luz del Concilio Vaticano II</w:t>
      </w:r>
      <w:r w:rsidRPr="0002711A">
        <w:rPr>
          <w:rFonts w:ascii="Times New Roman" w:hAnsi="Times New Roman"/>
          <w:lang w:val="it-IT"/>
        </w:rPr>
        <w:t>, Madrid 2007, p. 610). Bianchi, invece, sostiene che «tale indicazione obbedisce non già a ragioni contingenti e di mera politica legislativa, ma che si pone invece in continuità con la comprensione che la Chiesa ha sempre professato dell’istituto matrimoniale: quella di un istituto naturale nel quale vivere nel modo autentico l’amore eterosessuale, uno stato di vita tendenzialmente aperto a tutti gli uomini e non invece riservato a un’improbabile classe di persone superiori o particolarmente dotate» (</w:t>
      </w:r>
      <w:r w:rsidRPr="0002711A">
        <w:rPr>
          <w:rFonts w:ascii="Times New Roman" w:hAnsi="Times New Roman"/>
          <w:smallCaps/>
          <w:lang w:val="it-IT"/>
        </w:rPr>
        <w:t>P. Bianchi</w:t>
      </w:r>
      <w:r w:rsidRPr="0002711A">
        <w:rPr>
          <w:rFonts w:ascii="Times New Roman" w:hAnsi="Times New Roman"/>
          <w:lang w:val="it-IT"/>
        </w:rPr>
        <w:t xml:space="preserve">, </w:t>
      </w:r>
      <w:r w:rsidRPr="0002711A">
        <w:rPr>
          <w:rFonts w:ascii="Times New Roman" w:hAnsi="Times New Roman"/>
          <w:i/>
          <w:lang w:val="it-IT"/>
        </w:rPr>
        <w:t>L’incapacità psichica al matrimonio: punti fermi e problemi aperti</w:t>
      </w:r>
      <w:r w:rsidRPr="0002711A">
        <w:rPr>
          <w:rFonts w:ascii="Times New Roman" w:hAnsi="Times New Roman"/>
          <w:lang w:val="it-IT"/>
        </w:rPr>
        <w:t>, cit., p. 428). Ritengo che abbiano ragione Stankiewicz e Bianchi.</w:t>
      </w:r>
    </w:p>
  </w:footnote>
  <w:footnote w:id="34">
    <w:p w14:paraId="32198F55" w14:textId="77777777" w:rsidR="0057532C" w:rsidRPr="0002711A" w:rsidRDefault="0057532C" w:rsidP="0002711A">
      <w:pPr>
        <w:pStyle w:val="Testonotaapidipagina"/>
        <w:spacing w:before="120" w:after="0"/>
        <w:ind w:firstLine="567"/>
        <w:rPr>
          <w:rFonts w:ascii="Times New Roman" w:hAnsi="Times New Roman"/>
          <w:lang w:val="it-IT"/>
        </w:rPr>
      </w:pPr>
      <w:r w:rsidRPr="00DB5829">
        <w:rPr>
          <w:rStyle w:val="Caratteredellanota"/>
          <w:rFonts w:ascii="Times New Roman" w:hAnsi="Times New Roman"/>
          <w:vertAlign w:val="superscript"/>
          <w:lang w:val="it-IT"/>
        </w:rPr>
        <w:footnoteRef/>
      </w:r>
      <w:r w:rsidRPr="0002711A">
        <w:rPr>
          <w:rFonts w:ascii="Times New Roman" w:hAnsi="Times New Roman"/>
          <w:lang w:val="it-IT"/>
        </w:rPr>
        <w:t xml:space="preserve"> c. Stankiewicz, 14 dicembre 2007, cit., n. 21: «iuxta receptam iurisprudentiam causa naturae psychicae ad modum causae formalis percipi solet, quae tamquam principium intrinsecum specificat obiectum et substantiam causae materialis, eius ordinationem, formam atque structuram (…). Agitur enim de ordinatione et structura vitae psychicae ipsius personae, quae susceptionem obligationum essentialium matrimonii praepedit, independenter quidem ab indole, denominatione et specie nosographica causae materialis, pathologicam compaginem psychicam inducentis, sive illa sit functionalis sive organica seu endogena».</w:t>
      </w:r>
    </w:p>
  </w:footnote>
  <w:footnote w:id="35">
    <w:p w14:paraId="199C8620" w14:textId="77777777" w:rsidR="0057532C" w:rsidRPr="0002711A" w:rsidRDefault="0057532C" w:rsidP="0002711A">
      <w:pPr>
        <w:pStyle w:val="Testonotaapidipagina"/>
        <w:spacing w:before="120" w:after="0"/>
        <w:ind w:firstLine="567"/>
        <w:rPr>
          <w:rFonts w:ascii="Times New Roman" w:hAnsi="Times New Roman"/>
          <w:lang w:val="it-IT"/>
        </w:rPr>
      </w:pPr>
      <w:r w:rsidRPr="00DB5829">
        <w:rPr>
          <w:rStyle w:val="Caratteredellanota"/>
          <w:rFonts w:ascii="Times New Roman" w:hAnsi="Times New Roman"/>
          <w:vertAlign w:val="superscript"/>
          <w:lang w:val="it-IT"/>
        </w:rPr>
        <w:footnoteRef/>
      </w:r>
      <w:r w:rsidRPr="0002711A">
        <w:rPr>
          <w:rFonts w:ascii="Times New Roman" w:hAnsi="Times New Roman"/>
          <w:lang w:val="it-IT"/>
        </w:rPr>
        <w:t xml:space="preserve"> Cfr. </w:t>
      </w:r>
      <w:r w:rsidRPr="0002711A">
        <w:rPr>
          <w:rFonts w:ascii="Times New Roman" w:hAnsi="Times New Roman"/>
          <w:i/>
          <w:lang w:val="it-IT"/>
        </w:rPr>
        <w:t>ibid</w:t>
      </w:r>
      <w:r w:rsidRPr="0002711A">
        <w:rPr>
          <w:rFonts w:ascii="Times New Roman" w:hAnsi="Times New Roman"/>
          <w:lang w:val="it-IT"/>
        </w:rPr>
        <w:t>., n. 21.</w:t>
      </w:r>
    </w:p>
  </w:footnote>
  <w:footnote w:id="36">
    <w:p w14:paraId="24D22FBA" w14:textId="77777777" w:rsidR="0057532C" w:rsidRPr="0002711A" w:rsidRDefault="0057532C" w:rsidP="0002711A">
      <w:pPr>
        <w:pStyle w:val="Testonotaapidipagina"/>
        <w:spacing w:before="120" w:after="0"/>
        <w:ind w:firstLine="567"/>
        <w:rPr>
          <w:rFonts w:ascii="Times New Roman" w:hAnsi="Times New Roman"/>
          <w:lang w:val="it-IT"/>
        </w:rPr>
      </w:pPr>
      <w:r w:rsidRPr="0002711A">
        <w:rPr>
          <w:rStyle w:val="Rimandonotaapidipagina"/>
          <w:rFonts w:ascii="Times New Roman" w:hAnsi="Times New Roman"/>
          <w:lang w:val="it-IT"/>
        </w:rPr>
        <w:footnoteRef/>
      </w:r>
      <w:r w:rsidRPr="0002711A">
        <w:rPr>
          <w:rFonts w:ascii="Times New Roman" w:hAnsi="Times New Roman"/>
          <w:lang w:val="it-IT"/>
        </w:rPr>
        <w:t xml:space="preserve"> </w:t>
      </w:r>
      <w:r w:rsidRPr="0002711A">
        <w:rPr>
          <w:rFonts w:ascii="Times New Roman" w:hAnsi="Times New Roman"/>
          <w:smallCaps/>
          <w:lang w:val="it-IT"/>
        </w:rPr>
        <w:t>Pontifico Consiglio per i Testi Legislativi</w:t>
      </w:r>
      <w:r w:rsidRPr="0002711A">
        <w:rPr>
          <w:rFonts w:ascii="Times New Roman" w:hAnsi="Times New Roman"/>
          <w:lang w:val="it-IT"/>
        </w:rPr>
        <w:t xml:space="preserve">, Istr. </w:t>
      </w:r>
      <w:r w:rsidRPr="0002711A">
        <w:rPr>
          <w:rFonts w:ascii="Times New Roman" w:hAnsi="Times New Roman"/>
          <w:i/>
          <w:lang w:val="it-IT"/>
        </w:rPr>
        <w:t>Dignitas Connubii</w:t>
      </w:r>
      <w:r w:rsidRPr="0002711A">
        <w:rPr>
          <w:rFonts w:ascii="Times New Roman" w:hAnsi="Times New Roman"/>
          <w:lang w:val="it-IT"/>
        </w:rPr>
        <w:t>, art 209 § 2: «1</w:t>
      </w:r>
      <w:r w:rsidRPr="0002711A">
        <w:rPr>
          <w:rFonts w:ascii="Times New Roman" w:hAnsi="Times New Roman"/>
          <w:vertAlign w:val="superscript"/>
          <w:lang w:val="it-IT"/>
        </w:rPr>
        <w:t>o</w:t>
      </w:r>
      <w:r w:rsidRPr="0002711A">
        <w:rPr>
          <w:rFonts w:ascii="Times New Roman" w:hAnsi="Times New Roman"/>
          <w:lang w:val="it-IT"/>
        </w:rPr>
        <w:t xml:space="preserve"> nelle cause per difetto dell'uso di ragione, chieda se l'anomalia abbia perturbato gravemente l'uso di ragione al tempo del matrimonio; con quale intensità e attraverso quali sintomi essa si sia manifestata; 2</w:t>
      </w:r>
      <w:r w:rsidRPr="0002711A">
        <w:rPr>
          <w:rFonts w:ascii="Times New Roman" w:hAnsi="Times New Roman"/>
          <w:vertAlign w:val="superscript"/>
          <w:lang w:val="it-IT"/>
        </w:rPr>
        <w:t>o</w:t>
      </w:r>
      <w:r w:rsidRPr="0002711A">
        <w:rPr>
          <w:rFonts w:ascii="Times New Roman" w:hAnsi="Times New Roman"/>
          <w:lang w:val="it-IT"/>
        </w:rPr>
        <w:t xml:space="preserve"> nelle cause per difetto di discrezione di giudizio, chieda quale sia stato l'influsso dell'anomalia sulla facoltà critica ed elettiva, in relazione a gravi decisioni, particolarmente per quanto attiene alla libera scelta dello stato di vita; 3</w:t>
      </w:r>
      <w:r w:rsidRPr="0002711A">
        <w:rPr>
          <w:rFonts w:ascii="Times New Roman" w:hAnsi="Times New Roman"/>
          <w:vertAlign w:val="superscript"/>
          <w:lang w:val="it-IT"/>
        </w:rPr>
        <w:t>o</w:t>
      </w:r>
      <w:r w:rsidRPr="0002711A">
        <w:rPr>
          <w:rFonts w:ascii="Times New Roman" w:hAnsi="Times New Roman"/>
          <w:lang w:val="it-IT"/>
        </w:rPr>
        <w:t xml:space="preserve"> nelle cause poi per incapacità di assumere gli obblighi essenziali del matrimonio, chieda quale sia la natura e la gravità della causa psichica che provoca nella parte non solo una grave difficoltà, ma anche l'impossibilità di far fronte ai compiti inerenti agli obblighi matrimoniali».</w:t>
      </w:r>
    </w:p>
  </w:footnote>
  <w:footnote w:id="37">
    <w:p w14:paraId="2E7DAB98" w14:textId="77777777" w:rsidR="0057532C" w:rsidRPr="0002711A" w:rsidRDefault="0057532C" w:rsidP="0002711A">
      <w:pPr>
        <w:pStyle w:val="Testonotaapidipagina"/>
        <w:spacing w:before="120" w:after="0"/>
        <w:ind w:firstLine="567"/>
        <w:rPr>
          <w:rFonts w:ascii="Times New Roman" w:hAnsi="Times New Roman"/>
          <w:lang w:val="it-IT"/>
        </w:rPr>
      </w:pPr>
      <w:r w:rsidRPr="00DB5829">
        <w:rPr>
          <w:rStyle w:val="Caratteredellanota"/>
          <w:rFonts w:ascii="Times New Roman" w:hAnsi="Times New Roman"/>
          <w:vertAlign w:val="superscript"/>
          <w:lang w:val="it-IT"/>
        </w:rPr>
        <w:footnoteRef/>
      </w:r>
      <w:r w:rsidRPr="0002711A">
        <w:rPr>
          <w:rFonts w:ascii="Times New Roman" w:hAnsi="Times New Roman"/>
          <w:lang w:val="it-IT"/>
        </w:rPr>
        <w:t xml:space="preserve"> c. Stankiewicz, 14 dicembre 2007, cit., n. 16: «praevalens iurisprudentia retinet incapacitatem assumendi essentiales matrimonii obligationes tunc tantum verificari “ubi constat, una ex parte, nupturientem capacem fuisse volendi ad praefata onera se obligare (quod requirit normalitatem psychici processus deliberationis et decisionis); ex alia parte vero, eundem fuisse incapacem adimplendi obligationem volitam” (coram Pinto, decr. diei 18 iunii 1982, Ianuen., n. 4; cf. coram Colagiovanni, sent. diei 22 novembris 1983, RRDec., vol. LXXV, p. 665, n. 24; coram infrascripto Ponente, sent. diei 19 decembris 1985, </w:t>
      </w:r>
      <w:r w:rsidRPr="0002711A">
        <w:rPr>
          <w:rFonts w:ascii="Times New Roman" w:hAnsi="Times New Roman"/>
          <w:i/>
          <w:lang w:val="it-IT"/>
        </w:rPr>
        <w:t>ibid.</w:t>
      </w:r>
      <w:r w:rsidRPr="0002711A">
        <w:rPr>
          <w:rFonts w:ascii="Times New Roman" w:hAnsi="Times New Roman"/>
          <w:lang w:val="it-IT"/>
        </w:rPr>
        <w:t xml:space="preserve">, vol. LXXVII, p. 635, n. 10; coram Pompedda, sent. diei 19 octobris 1990, </w:t>
      </w:r>
      <w:r w:rsidRPr="0002711A">
        <w:rPr>
          <w:rFonts w:ascii="Times New Roman" w:hAnsi="Times New Roman"/>
          <w:i/>
          <w:lang w:val="it-IT"/>
        </w:rPr>
        <w:t>ibid.</w:t>
      </w:r>
      <w:r w:rsidRPr="0002711A">
        <w:rPr>
          <w:rFonts w:ascii="Times New Roman" w:hAnsi="Times New Roman"/>
          <w:lang w:val="it-IT"/>
        </w:rPr>
        <w:t xml:space="preserve">, vol. LXXXII, p. 687, n. 5; coram Doran, sent. diei 29 octobris 1992, </w:t>
      </w:r>
      <w:r w:rsidRPr="0002711A">
        <w:rPr>
          <w:rFonts w:ascii="Times New Roman" w:hAnsi="Times New Roman"/>
          <w:i/>
          <w:lang w:val="it-IT"/>
        </w:rPr>
        <w:t>ibid.</w:t>
      </w:r>
      <w:r w:rsidRPr="0002711A">
        <w:rPr>
          <w:rFonts w:ascii="Times New Roman" w:hAnsi="Times New Roman"/>
          <w:lang w:val="it-IT"/>
        </w:rPr>
        <w:t xml:space="preserve">, vol. LXXXIV, p. 511, n. 7; coram Defilippi, sent. diei 27 iulii 1994, </w:t>
      </w:r>
      <w:r w:rsidRPr="0002711A">
        <w:rPr>
          <w:rFonts w:ascii="Times New Roman" w:hAnsi="Times New Roman"/>
          <w:i/>
          <w:lang w:val="it-IT"/>
        </w:rPr>
        <w:t>ibid.</w:t>
      </w:r>
      <w:r w:rsidRPr="0002711A">
        <w:rPr>
          <w:rFonts w:ascii="Times New Roman" w:hAnsi="Times New Roman"/>
          <w:lang w:val="it-IT"/>
        </w:rPr>
        <w:t xml:space="preserve">, vol. LXXXVI, p. 417, nn. 8-9; coram Turnaturi, sent. diei 16 iunii 1995, </w:t>
      </w:r>
      <w:r w:rsidRPr="0002711A">
        <w:rPr>
          <w:rFonts w:ascii="Times New Roman" w:hAnsi="Times New Roman"/>
          <w:i/>
          <w:lang w:val="it-IT"/>
        </w:rPr>
        <w:t>ibid.</w:t>
      </w:r>
      <w:r w:rsidRPr="0002711A">
        <w:rPr>
          <w:rFonts w:ascii="Times New Roman" w:hAnsi="Times New Roman"/>
          <w:lang w:val="it-IT"/>
        </w:rPr>
        <w:t xml:space="preserve">, vol. LXXXVII, p. 375, n. 35; coram Monier, sent. diei 15 novembris 1996, </w:t>
      </w:r>
      <w:r w:rsidRPr="0002711A">
        <w:rPr>
          <w:rFonts w:ascii="Times New Roman" w:hAnsi="Times New Roman"/>
          <w:i/>
          <w:lang w:val="it-IT"/>
        </w:rPr>
        <w:t>ibid.</w:t>
      </w:r>
      <w:r w:rsidRPr="0002711A">
        <w:rPr>
          <w:rFonts w:ascii="Times New Roman" w:hAnsi="Times New Roman"/>
          <w:lang w:val="it-IT"/>
        </w:rPr>
        <w:t xml:space="preserve">, vol. LXXXVIII, p. 718, n. 5; coram Erlebach, sent. diei 29 octobris 1998, </w:t>
      </w:r>
      <w:r w:rsidRPr="0002711A">
        <w:rPr>
          <w:rFonts w:ascii="Times New Roman" w:hAnsi="Times New Roman"/>
          <w:i/>
          <w:lang w:val="it-IT"/>
        </w:rPr>
        <w:t>ibid.</w:t>
      </w:r>
      <w:r w:rsidRPr="0002711A">
        <w:rPr>
          <w:rFonts w:ascii="Times New Roman" w:hAnsi="Times New Roman"/>
          <w:lang w:val="it-IT"/>
        </w:rPr>
        <w:t xml:space="preserve">, vol. XC, p. 679, n. 4; coram Boccafola, sent. diei 28 iunii 2001, </w:t>
      </w:r>
      <w:r w:rsidRPr="0002711A">
        <w:rPr>
          <w:rFonts w:ascii="Times New Roman" w:hAnsi="Times New Roman"/>
          <w:i/>
          <w:lang w:val="it-IT"/>
        </w:rPr>
        <w:t>ibid.</w:t>
      </w:r>
      <w:r w:rsidRPr="0002711A">
        <w:rPr>
          <w:rFonts w:ascii="Times New Roman" w:hAnsi="Times New Roman"/>
          <w:lang w:val="it-IT"/>
        </w:rPr>
        <w:t>, vol. XCIII, p. 450, n. 7). Sed incapacitas adimplendi obligationes matrimonii essentiales effectum suum tunc tantum sortitur, si tempore celebrationis nuptiarum iam sit in actu. Si enim post nuptias proruperit, vim suam in praeteritum non exserit, nec ideo consensum iam elicitum inficere  potest».</w:t>
      </w:r>
    </w:p>
  </w:footnote>
  <w:footnote w:id="38">
    <w:p w14:paraId="262CA277" w14:textId="77777777" w:rsidR="0057532C" w:rsidRPr="0002711A" w:rsidRDefault="0057532C" w:rsidP="0002711A">
      <w:pPr>
        <w:pStyle w:val="Testonotaapidipagina"/>
        <w:spacing w:before="120" w:after="0"/>
        <w:ind w:firstLine="567"/>
        <w:rPr>
          <w:rFonts w:ascii="Times New Roman" w:hAnsi="Times New Roman"/>
          <w:lang w:val="it-IT"/>
        </w:rPr>
      </w:pPr>
      <w:r w:rsidRPr="00DB5829">
        <w:rPr>
          <w:rStyle w:val="Caratteredellanota"/>
          <w:rFonts w:ascii="Times New Roman" w:hAnsi="Times New Roman"/>
          <w:vertAlign w:val="superscript"/>
          <w:lang w:val="it-IT"/>
        </w:rPr>
        <w:footnoteRef/>
      </w:r>
      <w:r w:rsidRPr="0002711A">
        <w:rPr>
          <w:rFonts w:ascii="Times New Roman" w:hAnsi="Times New Roman"/>
          <w:lang w:val="it-IT"/>
        </w:rPr>
        <w:t xml:space="preserve"> Cfr., in modo particolare, i nn. 9 e 17-21 della sentenza.</w:t>
      </w:r>
    </w:p>
  </w:footnote>
  <w:footnote w:id="39">
    <w:p w14:paraId="19616435" w14:textId="77777777" w:rsidR="0057532C" w:rsidRPr="0002711A" w:rsidRDefault="0057532C" w:rsidP="0002711A">
      <w:pPr>
        <w:pStyle w:val="Testonotaapidipagina"/>
        <w:spacing w:before="120" w:after="0"/>
        <w:ind w:firstLine="567"/>
        <w:rPr>
          <w:rFonts w:ascii="Times New Roman" w:hAnsi="Times New Roman"/>
          <w:lang w:val="it-IT"/>
        </w:rPr>
      </w:pPr>
      <w:r w:rsidRPr="00DB5829">
        <w:rPr>
          <w:rStyle w:val="Caratteredellanota"/>
          <w:rFonts w:ascii="Times New Roman" w:hAnsi="Times New Roman"/>
          <w:vertAlign w:val="superscript"/>
          <w:lang w:val="it-IT"/>
        </w:rPr>
        <w:footnoteRef/>
      </w:r>
      <w:r w:rsidRPr="0002711A">
        <w:rPr>
          <w:rFonts w:ascii="Times New Roman" w:hAnsi="Times New Roman"/>
          <w:lang w:val="it-IT"/>
        </w:rPr>
        <w:t xml:space="preserve"> </w:t>
      </w:r>
      <w:r w:rsidRPr="0002711A">
        <w:rPr>
          <w:rFonts w:ascii="Times New Roman" w:hAnsi="Times New Roman"/>
          <w:smallCaps/>
          <w:lang w:val="it-IT"/>
        </w:rPr>
        <w:t>S. Tommaso</w:t>
      </w:r>
      <w:r w:rsidRPr="0002711A">
        <w:rPr>
          <w:rFonts w:ascii="Times New Roman" w:hAnsi="Times New Roman"/>
          <w:lang w:val="it-IT"/>
        </w:rPr>
        <w:t xml:space="preserve">, </w:t>
      </w:r>
      <w:r w:rsidRPr="0002711A">
        <w:rPr>
          <w:rFonts w:ascii="Times New Roman" w:hAnsi="Times New Roman"/>
          <w:i/>
          <w:lang w:val="it-IT"/>
        </w:rPr>
        <w:t>Summa Theologiae</w:t>
      </w:r>
      <w:r w:rsidRPr="0002711A">
        <w:rPr>
          <w:rFonts w:ascii="Times New Roman" w:hAnsi="Times New Roman"/>
          <w:lang w:val="it-IT"/>
        </w:rPr>
        <w:t>, I-II, q. 13, a. 5.</w:t>
      </w:r>
    </w:p>
  </w:footnote>
  <w:footnote w:id="40">
    <w:p w14:paraId="484E08D7" w14:textId="77777777" w:rsidR="0057532C" w:rsidRPr="0002711A" w:rsidRDefault="0057532C" w:rsidP="0002711A">
      <w:pPr>
        <w:pStyle w:val="Testonotaapidipagina"/>
        <w:spacing w:before="120" w:after="0"/>
        <w:ind w:firstLine="567"/>
        <w:rPr>
          <w:rFonts w:ascii="Times New Roman" w:hAnsi="Times New Roman"/>
          <w:lang w:val="it-IT"/>
        </w:rPr>
      </w:pPr>
      <w:r w:rsidRPr="00DB5829">
        <w:rPr>
          <w:rStyle w:val="Caratteredellanota"/>
          <w:rFonts w:ascii="Times New Roman" w:hAnsi="Times New Roman"/>
          <w:vertAlign w:val="superscript"/>
          <w:lang w:val="it-IT"/>
        </w:rPr>
        <w:footnoteRef/>
      </w:r>
      <w:r w:rsidRPr="0002711A">
        <w:rPr>
          <w:rFonts w:ascii="Times New Roman" w:hAnsi="Times New Roman"/>
          <w:lang w:val="it-IT"/>
        </w:rPr>
        <w:t xml:space="preserve"> </w:t>
      </w:r>
      <w:r w:rsidRPr="0002711A">
        <w:rPr>
          <w:rFonts w:ascii="Times New Roman" w:hAnsi="Times New Roman"/>
          <w:smallCaps/>
          <w:lang w:val="it-IT"/>
        </w:rPr>
        <w:t>J. García López</w:t>
      </w:r>
      <w:r w:rsidRPr="0002711A">
        <w:rPr>
          <w:rFonts w:ascii="Times New Roman" w:hAnsi="Times New Roman"/>
          <w:lang w:val="it-IT"/>
        </w:rPr>
        <w:t xml:space="preserve">, </w:t>
      </w:r>
      <w:r w:rsidRPr="0002711A">
        <w:rPr>
          <w:rFonts w:ascii="Times New Roman" w:hAnsi="Times New Roman"/>
          <w:i/>
          <w:lang w:val="it-IT" w:eastAsia="it-IT" w:bidi="it-IT"/>
        </w:rPr>
        <w:t>Escritos de antropología filosófica</w:t>
      </w:r>
      <w:r w:rsidRPr="0002711A">
        <w:rPr>
          <w:rFonts w:ascii="Times New Roman" w:hAnsi="Times New Roman"/>
          <w:lang w:val="it-IT" w:eastAsia="it-IT" w:bidi="it-IT"/>
        </w:rPr>
        <w:t xml:space="preserve">, Eunsa, Pamplona 2006, p. </w:t>
      </w:r>
      <w:r w:rsidRPr="0002711A">
        <w:rPr>
          <w:rFonts w:ascii="Times New Roman" w:hAnsi="Times New Roman"/>
          <w:lang w:val="it-IT"/>
        </w:rPr>
        <w:t>156 (la traduzione è mia).</w:t>
      </w:r>
    </w:p>
  </w:footnote>
  <w:footnote w:id="41">
    <w:p w14:paraId="74B5F3CC" w14:textId="77777777" w:rsidR="0057532C" w:rsidRPr="0002711A" w:rsidRDefault="0057532C" w:rsidP="0002711A">
      <w:pPr>
        <w:pStyle w:val="Testonotaapidipagina"/>
        <w:spacing w:before="120" w:after="0"/>
        <w:ind w:firstLine="567"/>
        <w:rPr>
          <w:rFonts w:ascii="Times New Roman" w:hAnsi="Times New Roman"/>
          <w:lang w:val="it-IT"/>
        </w:rPr>
      </w:pPr>
      <w:r w:rsidRPr="00DB5829">
        <w:rPr>
          <w:rStyle w:val="Caratteredellanota"/>
          <w:rFonts w:ascii="Times New Roman" w:hAnsi="Times New Roman"/>
          <w:vertAlign w:val="superscript"/>
          <w:lang w:val="it-IT"/>
        </w:rPr>
        <w:footnoteRef/>
      </w:r>
      <w:r w:rsidRPr="0002711A">
        <w:rPr>
          <w:rFonts w:ascii="Times New Roman" w:hAnsi="Times New Roman"/>
          <w:lang w:val="it-IT"/>
        </w:rPr>
        <w:t xml:space="preserve"> </w:t>
      </w:r>
      <w:r w:rsidRPr="0002711A">
        <w:rPr>
          <w:rFonts w:ascii="Times New Roman" w:hAnsi="Times New Roman"/>
          <w:smallCaps/>
          <w:lang w:val="it-IT"/>
        </w:rPr>
        <w:t>J. Hervada</w:t>
      </w:r>
      <w:r w:rsidRPr="0002711A">
        <w:rPr>
          <w:rFonts w:ascii="Times New Roman" w:hAnsi="Times New Roman"/>
          <w:lang w:val="it-IT"/>
        </w:rPr>
        <w:t xml:space="preserve">, </w:t>
      </w:r>
      <w:r w:rsidRPr="0002711A">
        <w:rPr>
          <w:rFonts w:ascii="Times New Roman" w:hAnsi="Times New Roman"/>
          <w:i/>
          <w:lang w:val="it-IT"/>
        </w:rPr>
        <w:t>Studi sull’essenza del matrimonio</w:t>
      </w:r>
      <w:r w:rsidRPr="0002711A">
        <w:rPr>
          <w:rFonts w:ascii="Times New Roman" w:hAnsi="Times New Roman"/>
          <w:lang w:val="it-IT"/>
        </w:rPr>
        <w:t>, Milano 2000, p. 300, nota 17.</w:t>
      </w:r>
    </w:p>
  </w:footnote>
  <w:footnote w:id="42">
    <w:p w14:paraId="0356D532" w14:textId="77777777" w:rsidR="0057532C" w:rsidRPr="0002711A" w:rsidRDefault="0057532C" w:rsidP="0002711A">
      <w:pPr>
        <w:pStyle w:val="Testonotaapidipagina"/>
        <w:spacing w:before="120" w:after="0"/>
        <w:ind w:firstLine="567"/>
        <w:rPr>
          <w:rFonts w:ascii="Times New Roman" w:hAnsi="Times New Roman"/>
          <w:lang w:val="it-IT"/>
        </w:rPr>
      </w:pPr>
      <w:r w:rsidRPr="00DB5829">
        <w:rPr>
          <w:rStyle w:val="Caratteredellanota"/>
          <w:rFonts w:ascii="Times New Roman" w:hAnsi="Times New Roman"/>
          <w:vertAlign w:val="superscript"/>
          <w:lang w:val="it-IT"/>
        </w:rPr>
        <w:footnoteRef/>
      </w:r>
      <w:r w:rsidRPr="0002711A">
        <w:rPr>
          <w:rFonts w:ascii="Times New Roman" w:hAnsi="Times New Roman"/>
          <w:lang w:val="it-IT"/>
        </w:rPr>
        <w:t xml:space="preserve"> </w:t>
      </w:r>
      <w:r w:rsidRPr="0002711A">
        <w:rPr>
          <w:rFonts w:ascii="Times New Roman" w:hAnsi="Times New Roman"/>
          <w:i/>
          <w:lang w:val="it-IT"/>
        </w:rPr>
        <w:t>Ibid</w:t>
      </w:r>
      <w:r w:rsidRPr="0002711A">
        <w:rPr>
          <w:rFonts w:ascii="Times New Roman" w:hAnsi="Times New Roman"/>
          <w:smallCaps/>
          <w:lang w:val="it-IT"/>
        </w:rPr>
        <w:t>.</w:t>
      </w:r>
      <w:r w:rsidRPr="0002711A">
        <w:rPr>
          <w:rFonts w:ascii="Times New Roman" w:hAnsi="Times New Roman"/>
          <w:lang w:val="it-IT"/>
        </w:rPr>
        <w:t>, 280.</w:t>
      </w:r>
    </w:p>
  </w:footnote>
  <w:footnote w:id="43">
    <w:p w14:paraId="353D8AD9" w14:textId="77777777" w:rsidR="0057532C" w:rsidRPr="0002711A" w:rsidRDefault="0057532C" w:rsidP="0002711A">
      <w:pPr>
        <w:pStyle w:val="Testonotaapidipagina"/>
        <w:spacing w:before="120" w:after="0"/>
        <w:ind w:firstLine="567"/>
        <w:rPr>
          <w:rFonts w:ascii="Times New Roman" w:hAnsi="Times New Roman"/>
          <w:lang w:val="it-IT"/>
        </w:rPr>
      </w:pPr>
      <w:r w:rsidRPr="00DB5829">
        <w:rPr>
          <w:rStyle w:val="Caratteredellanota"/>
          <w:rFonts w:ascii="Times New Roman" w:hAnsi="Times New Roman"/>
          <w:vertAlign w:val="superscript"/>
          <w:lang w:val="it-IT"/>
        </w:rPr>
        <w:footnoteRef/>
      </w:r>
      <w:r w:rsidRPr="0002711A">
        <w:rPr>
          <w:rFonts w:ascii="Times New Roman" w:hAnsi="Times New Roman"/>
          <w:lang w:val="it-IT"/>
        </w:rPr>
        <w:t xml:space="preserve"> </w:t>
      </w:r>
      <w:r w:rsidRPr="0002711A">
        <w:rPr>
          <w:rFonts w:ascii="Times New Roman" w:hAnsi="Times New Roman"/>
          <w:smallCaps/>
          <w:lang w:val="it-IT"/>
        </w:rPr>
        <w:t>J. Hervada</w:t>
      </w:r>
      <w:r w:rsidRPr="0002711A">
        <w:rPr>
          <w:rFonts w:ascii="Times New Roman" w:hAnsi="Times New Roman"/>
          <w:lang w:val="it-IT"/>
        </w:rPr>
        <w:t xml:space="preserve">, </w:t>
      </w:r>
      <w:r w:rsidRPr="0002711A">
        <w:rPr>
          <w:rFonts w:ascii="Times New Roman" w:hAnsi="Times New Roman"/>
          <w:i/>
          <w:lang w:val="it-IT"/>
        </w:rPr>
        <w:t>Studi sull’essenza del matrimonio</w:t>
      </w:r>
      <w:r w:rsidRPr="0002711A">
        <w:rPr>
          <w:rFonts w:ascii="Times New Roman" w:hAnsi="Times New Roman"/>
          <w:lang w:val="it-IT"/>
        </w:rPr>
        <w:t>, cit., p. 299-300.</w:t>
      </w:r>
    </w:p>
  </w:footnote>
  <w:footnote w:id="44">
    <w:p w14:paraId="15047CB4" w14:textId="77777777" w:rsidR="0057532C" w:rsidRPr="0002711A" w:rsidRDefault="0057532C" w:rsidP="0002711A">
      <w:pPr>
        <w:pStyle w:val="Testonotaapidipagina"/>
        <w:spacing w:before="120" w:after="0"/>
        <w:ind w:firstLine="567"/>
        <w:rPr>
          <w:rFonts w:ascii="Times New Roman" w:hAnsi="Times New Roman"/>
          <w:lang w:val="it-IT"/>
        </w:rPr>
      </w:pPr>
      <w:r w:rsidRPr="00DB5829">
        <w:rPr>
          <w:rStyle w:val="Caratteredellanota"/>
          <w:rFonts w:ascii="Times New Roman" w:hAnsi="Times New Roman"/>
          <w:vertAlign w:val="superscript"/>
          <w:lang w:val="it-IT"/>
        </w:rPr>
        <w:footnoteRef/>
      </w:r>
      <w:r w:rsidRPr="0002711A">
        <w:rPr>
          <w:rFonts w:ascii="Times New Roman" w:hAnsi="Times New Roman"/>
          <w:lang w:val="it-IT"/>
        </w:rPr>
        <w:t xml:space="preserve"> </w:t>
      </w:r>
      <w:r w:rsidRPr="0002711A">
        <w:rPr>
          <w:rFonts w:ascii="Times New Roman" w:hAnsi="Times New Roman"/>
          <w:smallCaps/>
          <w:lang w:val="it-IT"/>
        </w:rPr>
        <w:t>J. Hervada-P. Lombardía</w:t>
      </w:r>
      <w:r w:rsidRPr="0002711A">
        <w:rPr>
          <w:rFonts w:ascii="Times New Roman" w:hAnsi="Times New Roman"/>
          <w:lang w:val="it-IT"/>
        </w:rPr>
        <w:t xml:space="preserve">, </w:t>
      </w:r>
      <w:r w:rsidRPr="0002711A">
        <w:rPr>
          <w:rFonts w:ascii="Times New Roman" w:hAnsi="Times New Roman"/>
          <w:i/>
          <w:lang w:val="it-IT"/>
        </w:rPr>
        <w:t>El Derecho del Pueblo de Dios</w:t>
      </w:r>
      <w:r w:rsidRPr="0002711A">
        <w:rPr>
          <w:rFonts w:ascii="Times New Roman" w:hAnsi="Times New Roman"/>
          <w:lang w:val="it-IT"/>
        </w:rPr>
        <w:t xml:space="preserve">, III, </w:t>
      </w:r>
      <w:r w:rsidRPr="0002711A">
        <w:rPr>
          <w:rFonts w:ascii="Times New Roman" w:hAnsi="Times New Roman"/>
          <w:i/>
          <w:lang w:val="it-IT"/>
        </w:rPr>
        <w:t>Derecho matrimonial</w:t>
      </w:r>
      <w:r w:rsidRPr="0002711A">
        <w:rPr>
          <w:rFonts w:ascii="Times New Roman" w:hAnsi="Times New Roman"/>
          <w:lang w:val="it-IT"/>
        </w:rPr>
        <w:t>, I, Pamplona 1973, p. 379.</w:t>
      </w:r>
    </w:p>
  </w:footnote>
  <w:footnote w:id="45">
    <w:p w14:paraId="6830BF02" w14:textId="77777777" w:rsidR="0057532C" w:rsidRPr="0002711A" w:rsidRDefault="0057532C" w:rsidP="0002711A">
      <w:pPr>
        <w:pStyle w:val="Testonotaapidipagina"/>
        <w:spacing w:before="120" w:after="0"/>
        <w:ind w:firstLine="567"/>
        <w:rPr>
          <w:rFonts w:ascii="Times New Roman" w:hAnsi="Times New Roman"/>
          <w:lang w:val="it-IT"/>
        </w:rPr>
      </w:pPr>
      <w:r w:rsidRPr="00DB5829">
        <w:rPr>
          <w:rStyle w:val="Caratteredellanota"/>
          <w:rFonts w:ascii="Times New Roman" w:hAnsi="Times New Roman"/>
          <w:vertAlign w:val="superscript"/>
          <w:lang w:val="it-IT"/>
        </w:rPr>
        <w:footnoteRef/>
      </w:r>
      <w:r w:rsidRPr="0002711A">
        <w:rPr>
          <w:rFonts w:ascii="Times New Roman" w:hAnsi="Times New Roman"/>
          <w:lang w:val="it-IT"/>
        </w:rPr>
        <w:t xml:space="preserve"> </w:t>
      </w:r>
      <w:r w:rsidRPr="0002711A">
        <w:rPr>
          <w:rFonts w:ascii="Times New Roman" w:hAnsi="Times New Roman"/>
          <w:smallCaps/>
          <w:lang w:val="it-IT"/>
        </w:rPr>
        <w:t>J. Hervada</w:t>
      </w:r>
      <w:r w:rsidRPr="0002711A">
        <w:rPr>
          <w:rFonts w:ascii="Times New Roman" w:hAnsi="Times New Roman"/>
          <w:lang w:val="it-IT"/>
        </w:rPr>
        <w:t xml:space="preserve">, </w:t>
      </w:r>
      <w:r w:rsidRPr="0002711A">
        <w:rPr>
          <w:rFonts w:ascii="Times New Roman" w:hAnsi="Times New Roman"/>
          <w:i/>
          <w:lang w:val="it-IT"/>
        </w:rPr>
        <w:t>Studi sull’essenza del matrimonio</w:t>
      </w:r>
      <w:r w:rsidRPr="0002711A">
        <w:rPr>
          <w:rFonts w:ascii="Times New Roman" w:hAnsi="Times New Roman"/>
          <w:lang w:val="it-IT"/>
        </w:rPr>
        <w:t>, cit., p. 307.</w:t>
      </w:r>
    </w:p>
  </w:footnote>
  <w:footnote w:id="46">
    <w:p w14:paraId="311CA3B7" w14:textId="77777777" w:rsidR="0057532C" w:rsidRPr="0002711A" w:rsidRDefault="0057532C" w:rsidP="0002711A">
      <w:pPr>
        <w:pStyle w:val="Testonotaapidipagina"/>
        <w:spacing w:before="120" w:after="0"/>
        <w:ind w:firstLine="567"/>
        <w:rPr>
          <w:rFonts w:ascii="Times New Roman" w:hAnsi="Times New Roman"/>
          <w:lang w:val="it-IT"/>
        </w:rPr>
      </w:pPr>
      <w:r w:rsidRPr="00DB5829">
        <w:rPr>
          <w:rStyle w:val="Caratteredellanota"/>
          <w:rFonts w:ascii="Times New Roman" w:hAnsi="Times New Roman"/>
          <w:vertAlign w:val="superscript"/>
          <w:lang w:val="it-IT"/>
        </w:rPr>
        <w:footnoteRef/>
      </w:r>
      <w:r w:rsidRPr="0002711A">
        <w:rPr>
          <w:rFonts w:ascii="Times New Roman" w:hAnsi="Times New Roman"/>
          <w:lang w:val="it-IT"/>
        </w:rPr>
        <w:t xml:space="preserve"> </w:t>
      </w:r>
      <w:r w:rsidRPr="0002711A">
        <w:rPr>
          <w:rFonts w:ascii="Times New Roman" w:hAnsi="Times New Roman"/>
          <w:i/>
          <w:lang w:val="it-IT"/>
        </w:rPr>
        <w:t>Ibid</w:t>
      </w:r>
      <w:r w:rsidRPr="0002711A">
        <w:rPr>
          <w:rFonts w:ascii="Times New Roman" w:hAnsi="Times New Roman"/>
          <w:lang w:val="it-IT"/>
        </w:rPr>
        <w:t>., p. 305.</w:t>
      </w:r>
    </w:p>
  </w:footnote>
  <w:footnote w:id="47">
    <w:p w14:paraId="32C18437" w14:textId="77777777" w:rsidR="0057532C" w:rsidRPr="0002711A" w:rsidRDefault="0057532C" w:rsidP="0002711A">
      <w:pPr>
        <w:pStyle w:val="Testonotaapidipagina"/>
        <w:spacing w:before="120" w:after="0"/>
        <w:ind w:firstLine="567"/>
        <w:rPr>
          <w:rFonts w:ascii="Times New Roman" w:hAnsi="Times New Roman"/>
          <w:lang w:val="it-IT"/>
        </w:rPr>
      </w:pPr>
      <w:r w:rsidRPr="00DB5829">
        <w:rPr>
          <w:rStyle w:val="Caratteredellanota"/>
          <w:rFonts w:ascii="Times New Roman" w:hAnsi="Times New Roman"/>
          <w:vertAlign w:val="superscript"/>
          <w:lang w:val="it-IT"/>
        </w:rPr>
        <w:footnoteRef/>
      </w:r>
      <w:r w:rsidRPr="0002711A">
        <w:rPr>
          <w:rFonts w:ascii="Times New Roman" w:hAnsi="Times New Roman"/>
          <w:lang w:val="it-IT"/>
        </w:rPr>
        <w:t xml:space="preserve"> Cfr. </w:t>
      </w:r>
      <w:r w:rsidRPr="0002711A">
        <w:rPr>
          <w:rFonts w:ascii="Times New Roman" w:hAnsi="Times New Roman"/>
          <w:smallCaps/>
          <w:lang w:val="it-IT"/>
        </w:rPr>
        <w:t>E. Tejero</w:t>
      </w:r>
      <w:r w:rsidRPr="0002711A">
        <w:rPr>
          <w:rFonts w:ascii="Times New Roman" w:hAnsi="Times New Roman"/>
          <w:lang w:val="it-IT"/>
        </w:rPr>
        <w:t xml:space="preserve">, </w:t>
      </w:r>
      <w:r w:rsidRPr="0002711A">
        <w:rPr>
          <w:rFonts w:ascii="Times New Roman" w:hAnsi="Times New Roman"/>
          <w:i/>
          <w:lang w:val="it-IT"/>
        </w:rPr>
        <w:t xml:space="preserve">¿Imposibilidad de cumplir…, </w:t>
      </w:r>
      <w:r w:rsidRPr="0002711A">
        <w:rPr>
          <w:rFonts w:ascii="Times New Roman" w:hAnsi="Times New Roman"/>
          <w:lang w:val="it-IT"/>
        </w:rPr>
        <w:t>cit., p. 79-85.</w:t>
      </w:r>
    </w:p>
  </w:footnote>
  <w:footnote w:id="48">
    <w:p w14:paraId="44F9F890" w14:textId="77777777" w:rsidR="0057532C" w:rsidRPr="0002711A" w:rsidRDefault="0057532C" w:rsidP="0002711A">
      <w:pPr>
        <w:pStyle w:val="Testonotaapidipagina"/>
        <w:spacing w:before="120" w:after="0"/>
        <w:ind w:firstLine="567"/>
        <w:rPr>
          <w:rFonts w:ascii="Times New Roman" w:hAnsi="Times New Roman"/>
          <w:lang w:val="it-IT"/>
        </w:rPr>
      </w:pPr>
      <w:r w:rsidRPr="00DB5829">
        <w:rPr>
          <w:rStyle w:val="Caratteredellanota"/>
          <w:rFonts w:ascii="Times New Roman" w:hAnsi="Times New Roman"/>
          <w:vertAlign w:val="superscript"/>
          <w:lang w:val="it-IT"/>
        </w:rPr>
        <w:footnoteRef/>
      </w:r>
      <w:r w:rsidRPr="0002711A">
        <w:rPr>
          <w:rFonts w:ascii="Times New Roman" w:hAnsi="Times New Roman"/>
          <w:lang w:val="it-IT"/>
        </w:rPr>
        <w:t xml:space="preserve"> </w:t>
      </w:r>
      <w:r w:rsidRPr="0002711A">
        <w:rPr>
          <w:rFonts w:ascii="Times New Roman" w:hAnsi="Times New Roman"/>
          <w:smallCaps/>
          <w:lang w:val="it-IT"/>
        </w:rPr>
        <w:t>J. Hervada</w:t>
      </w:r>
      <w:r w:rsidRPr="0002711A">
        <w:rPr>
          <w:rFonts w:ascii="Times New Roman" w:hAnsi="Times New Roman"/>
          <w:lang w:val="it-IT"/>
        </w:rPr>
        <w:t xml:space="preserve">, </w:t>
      </w:r>
      <w:r w:rsidRPr="0002711A">
        <w:rPr>
          <w:rFonts w:ascii="Times New Roman" w:hAnsi="Times New Roman"/>
          <w:i/>
          <w:lang w:val="it-IT"/>
        </w:rPr>
        <w:t>Studi sull’essenza del matrimonio</w:t>
      </w:r>
      <w:r w:rsidRPr="0002711A">
        <w:rPr>
          <w:rFonts w:ascii="Times New Roman" w:hAnsi="Times New Roman"/>
          <w:lang w:val="it-IT"/>
        </w:rPr>
        <w:t>, cit., p. 323.</w:t>
      </w:r>
    </w:p>
  </w:footnote>
  <w:footnote w:id="49">
    <w:p w14:paraId="44C18A33" w14:textId="77777777" w:rsidR="0057532C" w:rsidRPr="0002711A" w:rsidRDefault="0057532C" w:rsidP="0002711A">
      <w:pPr>
        <w:pStyle w:val="Testonotaapidipagina"/>
        <w:spacing w:before="120" w:after="0"/>
        <w:ind w:firstLine="567"/>
        <w:rPr>
          <w:rFonts w:ascii="Times New Roman" w:hAnsi="Times New Roman"/>
          <w:lang w:val="it-IT"/>
        </w:rPr>
      </w:pPr>
      <w:r w:rsidRPr="0002711A">
        <w:rPr>
          <w:rStyle w:val="Rimandonotaapidipagina"/>
          <w:rFonts w:ascii="Times New Roman" w:hAnsi="Times New Roman"/>
          <w:lang w:val="it-IT"/>
        </w:rPr>
        <w:footnoteRef/>
      </w:r>
      <w:r w:rsidRPr="0002711A">
        <w:rPr>
          <w:rFonts w:ascii="Times New Roman" w:hAnsi="Times New Roman"/>
          <w:lang w:val="it-IT"/>
        </w:rPr>
        <w:t xml:space="preserve"> Congregazione dei Cardinali del 14 maggio 1906, in </w:t>
      </w:r>
      <w:r w:rsidRPr="0002711A">
        <w:rPr>
          <w:rFonts w:ascii="Times New Roman" w:hAnsi="Times New Roman"/>
          <w:smallCaps/>
          <w:lang w:val="it-IT"/>
        </w:rPr>
        <w:t>Archivio Segreto Vaticano</w:t>
      </w:r>
      <w:r w:rsidRPr="0002711A">
        <w:rPr>
          <w:rFonts w:ascii="Times New Roman" w:hAnsi="Times New Roman"/>
          <w:lang w:val="it-IT"/>
        </w:rPr>
        <w:t xml:space="preserve">, </w:t>
      </w:r>
      <w:r w:rsidRPr="0002711A">
        <w:rPr>
          <w:rFonts w:ascii="Times New Roman" w:hAnsi="Times New Roman"/>
          <w:i/>
          <w:lang w:val="it-IT"/>
        </w:rPr>
        <w:t>Fondo Commissione cod. Diritto Canonico</w:t>
      </w:r>
      <w:r w:rsidRPr="0002711A">
        <w:rPr>
          <w:rFonts w:ascii="Times New Roman" w:hAnsi="Times New Roman"/>
          <w:lang w:val="it-IT"/>
        </w:rPr>
        <w:t>, scatola 56.</w:t>
      </w:r>
    </w:p>
  </w:footnote>
  <w:footnote w:id="50">
    <w:p w14:paraId="4FDF90DB" w14:textId="77777777" w:rsidR="0057532C" w:rsidRPr="0002711A" w:rsidRDefault="0057532C" w:rsidP="0002711A">
      <w:pPr>
        <w:pStyle w:val="Testonotaapidipagina"/>
        <w:spacing w:before="120" w:after="0"/>
        <w:ind w:firstLine="567"/>
        <w:rPr>
          <w:rFonts w:ascii="Times New Roman" w:hAnsi="Times New Roman"/>
          <w:lang w:val="it-IT"/>
        </w:rPr>
      </w:pPr>
      <w:r w:rsidRPr="0002711A">
        <w:rPr>
          <w:rStyle w:val="Rimandonotaapidipagina"/>
          <w:rFonts w:ascii="Times New Roman" w:hAnsi="Times New Roman"/>
          <w:lang w:val="it-IT"/>
        </w:rPr>
        <w:footnoteRef/>
      </w:r>
      <w:r w:rsidRPr="0002711A">
        <w:rPr>
          <w:rFonts w:ascii="Times New Roman" w:hAnsi="Times New Roman"/>
          <w:lang w:val="it-IT"/>
        </w:rPr>
        <w:t xml:space="preserve"> Cfr. E</w:t>
      </w:r>
      <w:r w:rsidRPr="0002711A">
        <w:rPr>
          <w:rFonts w:ascii="Times New Roman" w:hAnsi="Times New Roman"/>
          <w:smallCaps/>
          <w:lang w:val="it-IT"/>
        </w:rPr>
        <w:t>. Tejero</w:t>
      </w:r>
      <w:r w:rsidRPr="0002711A">
        <w:rPr>
          <w:rFonts w:ascii="Times New Roman" w:hAnsi="Times New Roman"/>
          <w:lang w:val="it-IT"/>
        </w:rPr>
        <w:t xml:space="preserve">, </w:t>
      </w:r>
      <w:r w:rsidRPr="0002711A">
        <w:rPr>
          <w:rFonts w:ascii="Times New Roman" w:hAnsi="Times New Roman"/>
          <w:i/>
          <w:lang w:val="it-IT"/>
        </w:rPr>
        <w:t>Naturaleza jurídica de la incapacidad para asumir las obligaciones esenciales del matrimonio y "Ius Connubii</w:t>
      </w:r>
      <w:r w:rsidRPr="0002711A">
        <w:rPr>
          <w:rFonts w:ascii="Times New Roman" w:hAnsi="Times New Roman"/>
          <w:lang w:val="it-IT"/>
        </w:rPr>
        <w:t xml:space="preserve">", in </w:t>
      </w:r>
      <w:r w:rsidRPr="0002711A">
        <w:rPr>
          <w:rFonts w:ascii="Times New Roman" w:hAnsi="Times New Roman"/>
          <w:i/>
          <w:lang w:val="it-IT"/>
        </w:rPr>
        <w:t>Fidelium Iura</w:t>
      </w:r>
      <w:r w:rsidRPr="0002711A">
        <w:rPr>
          <w:rFonts w:ascii="Times New Roman" w:hAnsi="Times New Roman"/>
          <w:lang w:val="it-IT"/>
        </w:rPr>
        <w:t xml:space="preserve"> 6 (1996), p. 227-333.</w:t>
      </w:r>
    </w:p>
  </w:footnote>
  <w:footnote w:id="51">
    <w:p w14:paraId="4EC50297" w14:textId="77777777" w:rsidR="0057532C" w:rsidRPr="0002711A" w:rsidRDefault="0057532C" w:rsidP="0002711A">
      <w:pPr>
        <w:pStyle w:val="Testonotaapidipagina"/>
        <w:spacing w:before="120" w:after="0"/>
        <w:ind w:firstLine="567"/>
        <w:rPr>
          <w:rFonts w:ascii="Times New Roman" w:hAnsi="Times New Roman"/>
          <w:lang w:val="it-IT"/>
        </w:rPr>
      </w:pPr>
      <w:r w:rsidRPr="0002711A">
        <w:rPr>
          <w:rStyle w:val="Rimandonotaapidipagina"/>
          <w:rFonts w:ascii="Times New Roman" w:hAnsi="Times New Roman"/>
          <w:lang w:val="it-IT"/>
        </w:rPr>
        <w:footnoteRef/>
      </w:r>
      <w:r w:rsidRPr="0002711A">
        <w:rPr>
          <w:rFonts w:ascii="Times New Roman" w:hAnsi="Times New Roman"/>
          <w:lang w:val="it-IT"/>
        </w:rPr>
        <w:t xml:space="preserve"> La distinzione tra l’incapacità e l’inabilità non è tanto chiara, dato che alcuni degli impedimenti sembrano far riferimento più ad un’incapacità che a una qualche realtà che renda inabile.</w:t>
      </w:r>
    </w:p>
  </w:footnote>
  <w:footnote w:id="52">
    <w:p w14:paraId="77013D4F" w14:textId="77777777" w:rsidR="0057532C" w:rsidRPr="00266DC2" w:rsidRDefault="0057532C" w:rsidP="0002711A">
      <w:pPr>
        <w:pStyle w:val="Testonotaapidipagina"/>
        <w:spacing w:before="120" w:after="0"/>
        <w:ind w:firstLine="567"/>
        <w:rPr>
          <w:rFonts w:ascii="Times New Roman" w:hAnsi="Times New Roman"/>
          <w:lang w:val="fr-FR"/>
        </w:rPr>
      </w:pPr>
      <w:r w:rsidRPr="0002711A">
        <w:rPr>
          <w:rStyle w:val="Rimandonotaapidipagina"/>
          <w:rFonts w:ascii="Times New Roman" w:hAnsi="Times New Roman"/>
          <w:lang w:val="it-IT"/>
        </w:rPr>
        <w:footnoteRef/>
      </w:r>
      <w:r w:rsidRPr="00266DC2">
        <w:rPr>
          <w:rFonts w:ascii="Times New Roman" w:hAnsi="Times New Roman"/>
          <w:lang w:val="fr-FR"/>
        </w:rPr>
        <w:t xml:space="preserve"> Cfr. </w:t>
      </w:r>
      <w:r w:rsidRPr="00266DC2">
        <w:rPr>
          <w:rFonts w:ascii="Times New Roman" w:hAnsi="Times New Roman"/>
          <w:i/>
          <w:lang w:val="fr-FR"/>
        </w:rPr>
        <w:t>Communicationes</w:t>
      </w:r>
      <w:r w:rsidRPr="00266DC2">
        <w:rPr>
          <w:rFonts w:ascii="Times New Roman" w:hAnsi="Times New Roman"/>
          <w:lang w:val="fr-FR"/>
        </w:rPr>
        <w:t xml:space="preserve"> 32 (2000), p. 262-265.</w:t>
      </w:r>
    </w:p>
  </w:footnote>
  <w:footnote w:id="53">
    <w:p w14:paraId="0599F378" w14:textId="77777777" w:rsidR="0057532C" w:rsidRPr="0002711A" w:rsidRDefault="0057532C" w:rsidP="0002711A">
      <w:pPr>
        <w:pStyle w:val="Testonotaapidipagina"/>
        <w:spacing w:before="120" w:after="0"/>
        <w:ind w:firstLine="567"/>
        <w:rPr>
          <w:rFonts w:ascii="Times New Roman" w:hAnsi="Times New Roman"/>
          <w:lang w:val="it-IT"/>
        </w:rPr>
      </w:pPr>
      <w:r w:rsidRPr="0002711A">
        <w:rPr>
          <w:rStyle w:val="Rimandonotaapidipagina"/>
          <w:rFonts w:ascii="Times New Roman" w:hAnsi="Times New Roman"/>
          <w:lang w:val="it-IT"/>
        </w:rPr>
        <w:footnoteRef/>
      </w:r>
      <w:r w:rsidRPr="00266DC2">
        <w:rPr>
          <w:rFonts w:ascii="Times New Roman" w:hAnsi="Times New Roman"/>
          <w:lang w:val="fr-FR"/>
        </w:rPr>
        <w:t xml:space="preserve"> </w:t>
      </w:r>
      <w:r w:rsidRPr="00266DC2">
        <w:rPr>
          <w:rFonts w:ascii="Times New Roman" w:hAnsi="Times New Roman"/>
          <w:i/>
          <w:iCs/>
          <w:lang w:val="fr-FR"/>
        </w:rPr>
        <w:t>Ibid</w:t>
      </w:r>
      <w:r w:rsidRPr="00266DC2">
        <w:rPr>
          <w:rFonts w:ascii="Times New Roman" w:hAnsi="Times New Roman"/>
          <w:i/>
          <w:lang w:val="fr-FR"/>
        </w:rPr>
        <w:t>.</w:t>
      </w:r>
      <w:r w:rsidRPr="00266DC2">
        <w:rPr>
          <w:rFonts w:ascii="Times New Roman" w:hAnsi="Times New Roman"/>
          <w:lang w:val="fr-FR"/>
        </w:rPr>
        <w:t xml:space="preserve">, p. 264: «Exc.mus tertius Consultor censet omnes illas incapacitates, de quibus sermo fuit, submissi non posse sub notione traditionali impotentiae neque sub notione traditionali defectus consensus. </w:t>
      </w:r>
      <w:r w:rsidRPr="0002711A">
        <w:rPr>
          <w:rFonts w:ascii="Times New Roman" w:hAnsi="Times New Roman"/>
          <w:lang w:val="it-IT"/>
        </w:rPr>
        <w:t>Unde introducitur novum impedimentum quod restringit ius naturale ad matrimonium. Oportet ergo profundius inquirere utrum novum illud impedimentum revera nitatur in ipsa natura matrimonii».</w:t>
      </w:r>
    </w:p>
  </w:footnote>
  <w:footnote w:id="54">
    <w:p w14:paraId="7E1DE821" w14:textId="77777777" w:rsidR="0057532C" w:rsidRPr="0002711A" w:rsidRDefault="0057532C" w:rsidP="0002711A">
      <w:pPr>
        <w:pStyle w:val="Testonotaapidipagina"/>
        <w:spacing w:before="120" w:after="0"/>
        <w:ind w:firstLine="567"/>
        <w:rPr>
          <w:rFonts w:ascii="Times New Roman" w:hAnsi="Times New Roman"/>
          <w:lang w:val="it-IT"/>
        </w:rPr>
      </w:pPr>
      <w:r w:rsidRPr="0002711A">
        <w:rPr>
          <w:rStyle w:val="Rimandonotaapidipagina"/>
          <w:rFonts w:ascii="Times New Roman" w:hAnsi="Times New Roman"/>
          <w:lang w:val="it-IT"/>
        </w:rPr>
        <w:footnoteRef/>
      </w:r>
      <w:r w:rsidRPr="0002711A">
        <w:rPr>
          <w:rFonts w:ascii="Times New Roman" w:hAnsi="Times New Roman"/>
          <w:lang w:val="it-IT"/>
        </w:rPr>
        <w:t xml:space="preserve"> Al riguardo, cfr. S. </w:t>
      </w:r>
      <w:r w:rsidRPr="0002711A">
        <w:rPr>
          <w:rFonts w:ascii="Times New Roman" w:hAnsi="Times New Roman"/>
          <w:smallCaps/>
          <w:lang w:val="it-IT"/>
        </w:rPr>
        <w:t>Gherro</w:t>
      </w:r>
      <w:r w:rsidRPr="0002711A">
        <w:rPr>
          <w:rFonts w:ascii="Times New Roman" w:hAnsi="Times New Roman"/>
          <w:lang w:val="it-IT"/>
        </w:rPr>
        <w:t xml:space="preserve">, </w:t>
      </w:r>
      <w:r w:rsidRPr="0002711A">
        <w:rPr>
          <w:rFonts w:ascii="Times New Roman" w:hAnsi="Times New Roman"/>
          <w:i/>
          <w:lang w:val="it-IT"/>
        </w:rPr>
        <w:t>Il Diritto al matrimonio nell'Ordinamento della Chiesa</w:t>
      </w:r>
      <w:r w:rsidRPr="0002711A">
        <w:rPr>
          <w:rFonts w:ascii="Times New Roman" w:hAnsi="Times New Roman"/>
          <w:lang w:val="it-IT"/>
        </w:rPr>
        <w:t xml:space="preserve">, Padova 1979, </w:t>
      </w:r>
      <w:r w:rsidRPr="0002711A">
        <w:rPr>
          <w:rFonts w:ascii="Times New Roman" w:hAnsi="Times New Roman"/>
          <w:i/>
          <w:lang w:val="it-IT"/>
        </w:rPr>
        <w:t>passim</w:t>
      </w:r>
      <w:r w:rsidRPr="0002711A">
        <w:rPr>
          <w:rFonts w:ascii="Times New Roman" w:hAnsi="Times New Roman"/>
          <w:lang w:val="it-IT"/>
        </w:rPr>
        <w:t>. In particolare, le p. 29-40, 49-53. L’autore, ancor prima del nuovo Codice, mette in guardia contro un’interpretazione dell’incapacità di assumere che finisca per negare il diritto al matrimonio di persone che per natura, ed anche secondo l’ordinamento giuridico, avrebbero la capacità per esercitare questo diritto.</w:t>
      </w:r>
    </w:p>
  </w:footnote>
  <w:footnote w:id="55">
    <w:p w14:paraId="5C5F3A44" w14:textId="77777777" w:rsidR="0057532C" w:rsidRPr="0002711A" w:rsidRDefault="0057532C" w:rsidP="0002711A">
      <w:pPr>
        <w:pStyle w:val="Testonotaapidipagina"/>
        <w:spacing w:before="120" w:after="0"/>
        <w:ind w:firstLine="567"/>
        <w:rPr>
          <w:rFonts w:ascii="Times New Roman" w:hAnsi="Times New Roman"/>
          <w:lang w:val="it-IT"/>
        </w:rPr>
      </w:pPr>
      <w:r w:rsidRPr="0002711A">
        <w:rPr>
          <w:rStyle w:val="Rimandonotaapidipagina"/>
          <w:rFonts w:ascii="Times New Roman" w:hAnsi="Times New Roman"/>
          <w:lang w:val="it-IT"/>
        </w:rPr>
        <w:footnoteRef/>
      </w:r>
      <w:r w:rsidRPr="0002711A">
        <w:rPr>
          <w:rFonts w:ascii="Times New Roman" w:hAnsi="Times New Roman"/>
          <w:lang w:val="it-IT"/>
        </w:rPr>
        <w:t xml:space="preserve"> </w:t>
      </w:r>
      <w:r w:rsidRPr="0002711A">
        <w:rPr>
          <w:rFonts w:ascii="Times New Roman" w:hAnsi="Times New Roman"/>
          <w:smallCaps/>
          <w:lang w:val="it-IT"/>
        </w:rPr>
        <w:t>P. J. Viladrich</w:t>
      </w:r>
      <w:r w:rsidRPr="0002711A">
        <w:rPr>
          <w:rFonts w:ascii="Times New Roman" w:hAnsi="Times New Roman"/>
          <w:lang w:val="it-IT"/>
        </w:rPr>
        <w:t xml:space="preserve">, </w:t>
      </w:r>
      <w:r w:rsidRPr="0002711A">
        <w:rPr>
          <w:rFonts w:ascii="Times New Roman" w:hAnsi="Times New Roman"/>
          <w:i/>
          <w:lang w:val="it-IT"/>
        </w:rPr>
        <w:t>Il consenso matrimoniale</w:t>
      </w:r>
      <w:r w:rsidRPr="0002711A">
        <w:rPr>
          <w:rFonts w:ascii="Times New Roman" w:hAnsi="Times New Roman"/>
          <w:lang w:val="it-IT"/>
        </w:rPr>
        <w:t xml:space="preserve">, cit., p. 20: «Ne deriva che sposarsi è oggetto di un diritto naturale, di uno dei cosiddetti diritti umani o fondamentali propri di ogni persona umana, lo </w:t>
      </w:r>
      <w:r w:rsidRPr="0002711A">
        <w:rPr>
          <w:rFonts w:ascii="Times New Roman" w:hAnsi="Times New Roman"/>
          <w:i/>
          <w:lang w:val="it-IT"/>
        </w:rPr>
        <w:t>ius connubii</w:t>
      </w:r>
      <w:r w:rsidRPr="0002711A">
        <w:rPr>
          <w:rFonts w:ascii="Times New Roman" w:hAnsi="Times New Roman"/>
          <w:lang w:val="it-IT"/>
        </w:rPr>
        <w:t xml:space="preserve">. Non avrebbe alcun senso supporre che possa esistere una categoria di persone umane che, senza che vi sia una circostanza anomala che lo spieghi, si trovi in condizioni normali ad essere priva dell’esercizio dello </w:t>
      </w:r>
      <w:r w:rsidRPr="0002711A">
        <w:rPr>
          <w:rFonts w:ascii="Times New Roman" w:hAnsi="Times New Roman"/>
          <w:i/>
          <w:lang w:val="it-IT"/>
        </w:rPr>
        <w:t>ius connubii</w:t>
      </w:r>
      <w:r w:rsidRPr="0002711A">
        <w:rPr>
          <w:rFonts w:ascii="Times New Roman" w:hAnsi="Times New Roman"/>
          <w:lang w:val="it-IT"/>
        </w:rPr>
        <w:t>, cioè sia “normalmente” incapace a fondare il matrimonio».</w:t>
      </w:r>
    </w:p>
  </w:footnote>
  <w:footnote w:id="56">
    <w:p w14:paraId="4C4B1B58" w14:textId="77777777" w:rsidR="0057532C" w:rsidRPr="0002711A" w:rsidRDefault="0057532C" w:rsidP="0002711A">
      <w:pPr>
        <w:pStyle w:val="Testonotaapidipagina"/>
        <w:spacing w:before="120" w:after="0"/>
        <w:ind w:firstLine="567"/>
        <w:rPr>
          <w:rFonts w:ascii="Times New Roman" w:hAnsi="Times New Roman"/>
          <w:lang w:val="it-IT"/>
        </w:rPr>
      </w:pPr>
      <w:r w:rsidRPr="0002711A">
        <w:rPr>
          <w:rStyle w:val="Rimandonotaapidipagina"/>
          <w:rFonts w:ascii="Times New Roman" w:hAnsi="Times New Roman"/>
          <w:lang w:val="it-IT"/>
        </w:rPr>
        <w:footnoteRef/>
      </w:r>
      <w:r w:rsidRPr="0002711A">
        <w:rPr>
          <w:rFonts w:ascii="Times New Roman" w:hAnsi="Times New Roman"/>
          <w:lang w:val="it-IT"/>
        </w:rPr>
        <w:t xml:space="preserve"> Cfr. H</w:t>
      </w:r>
      <w:r w:rsidRPr="0002711A">
        <w:rPr>
          <w:rFonts w:ascii="Times New Roman" w:hAnsi="Times New Roman"/>
          <w:smallCaps/>
          <w:lang w:val="it-IT"/>
        </w:rPr>
        <w:t>. Franceschi</w:t>
      </w:r>
      <w:r w:rsidRPr="0002711A">
        <w:rPr>
          <w:rFonts w:ascii="Times New Roman" w:hAnsi="Times New Roman"/>
          <w:lang w:val="it-IT"/>
        </w:rPr>
        <w:t xml:space="preserve">, </w:t>
      </w:r>
      <w:r w:rsidRPr="0002711A">
        <w:rPr>
          <w:rFonts w:ascii="Times New Roman" w:hAnsi="Times New Roman"/>
          <w:i/>
          <w:lang w:val="it-IT"/>
        </w:rPr>
        <w:t>L’incapacità relativa: “status quaestionis” e prospettiva antropologico-giuridica,</w:t>
      </w:r>
      <w:r w:rsidRPr="0002711A">
        <w:rPr>
          <w:rFonts w:ascii="Times New Roman" w:hAnsi="Times New Roman"/>
          <w:lang w:val="it-IT"/>
        </w:rPr>
        <w:t xml:space="preserve"> in AA.VV., </w:t>
      </w:r>
      <w:r w:rsidRPr="0002711A">
        <w:rPr>
          <w:rFonts w:ascii="Times New Roman" w:hAnsi="Times New Roman"/>
          <w:i/>
          <w:lang w:val="it-IT"/>
        </w:rPr>
        <w:t>L’incapacità di assumere gli oneri essenziali del matrimonio</w:t>
      </w:r>
      <w:r w:rsidRPr="0002711A">
        <w:rPr>
          <w:rFonts w:ascii="Times New Roman" w:hAnsi="Times New Roman"/>
          <w:lang w:val="it-IT"/>
        </w:rPr>
        <w:t xml:space="preserve">, Città del Vaticano 1998, p. 101-135; </w:t>
      </w:r>
      <w:r w:rsidRPr="0002711A">
        <w:rPr>
          <w:rFonts w:ascii="Times New Roman" w:hAnsi="Times New Roman"/>
          <w:smallCaps/>
          <w:lang w:val="it-IT"/>
        </w:rPr>
        <w:t>Ibid</w:t>
      </w:r>
      <w:r w:rsidRPr="0002711A">
        <w:rPr>
          <w:rFonts w:ascii="Times New Roman" w:hAnsi="Times New Roman"/>
          <w:lang w:val="it-IT"/>
        </w:rPr>
        <w:t xml:space="preserve">., </w:t>
      </w:r>
      <w:r w:rsidRPr="0002711A">
        <w:rPr>
          <w:rFonts w:ascii="Times New Roman" w:hAnsi="Times New Roman"/>
          <w:i/>
          <w:lang w:val="it-IT"/>
        </w:rPr>
        <w:t>L’incapacità relativa esplicita e implicita</w:t>
      </w:r>
      <w:r w:rsidRPr="0002711A">
        <w:rPr>
          <w:rFonts w:ascii="Times New Roman" w:hAnsi="Times New Roman"/>
          <w:lang w:val="it-IT"/>
        </w:rPr>
        <w:t xml:space="preserve">, in </w:t>
      </w:r>
      <w:r w:rsidRPr="0002711A">
        <w:rPr>
          <w:rFonts w:ascii="Times New Roman" w:hAnsi="Times New Roman"/>
          <w:smallCaps/>
          <w:lang w:val="it-IT"/>
        </w:rPr>
        <w:t>H. Franceschi, J. Llobell, M.A. Ortiz</w:t>
      </w:r>
      <w:r w:rsidRPr="0002711A">
        <w:rPr>
          <w:rFonts w:ascii="Times New Roman" w:hAnsi="Times New Roman"/>
          <w:lang w:val="it-IT"/>
        </w:rPr>
        <w:t xml:space="preserve"> (a cura di), </w:t>
      </w:r>
      <w:r w:rsidRPr="0002711A">
        <w:rPr>
          <w:rFonts w:ascii="Times New Roman" w:hAnsi="Times New Roman"/>
          <w:i/>
          <w:lang w:val="it-IT"/>
        </w:rPr>
        <w:t>La nullità del matrimonio: temi processuali e sostantivi in occasione della «Dignitas Connubii»</w:t>
      </w:r>
      <w:r w:rsidRPr="0002711A">
        <w:rPr>
          <w:rFonts w:ascii="Times New Roman" w:hAnsi="Times New Roman"/>
          <w:lang w:val="it-IT"/>
        </w:rPr>
        <w:t>, Roma 2005, p. 351-393.</w:t>
      </w:r>
    </w:p>
  </w:footnote>
  <w:footnote w:id="57">
    <w:p w14:paraId="7864D43C" w14:textId="77777777" w:rsidR="0057532C" w:rsidRPr="0002711A" w:rsidRDefault="0057532C" w:rsidP="0002711A">
      <w:pPr>
        <w:pStyle w:val="Testonotaapidipagina"/>
        <w:spacing w:before="120" w:after="0"/>
        <w:ind w:firstLine="567"/>
        <w:rPr>
          <w:rFonts w:ascii="Times New Roman" w:hAnsi="Times New Roman"/>
          <w:lang w:val="it-IT"/>
        </w:rPr>
      </w:pPr>
      <w:r w:rsidRPr="0002711A">
        <w:rPr>
          <w:rStyle w:val="Rimandonotaapidipagina"/>
          <w:rFonts w:ascii="Times New Roman" w:hAnsi="Times New Roman"/>
          <w:lang w:val="it-IT"/>
        </w:rPr>
        <w:footnoteRef/>
      </w:r>
      <w:r w:rsidRPr="0002711A">
        <w:rPr>
          <w:rFonts w:ascii="Times New Roman" w:hAnsi="Times New Roman"/>
          <w:lang w:val="it-IT"/>
        </w:rPr>
        <w:t xml:space="preserve"> Cfr. </w:t>
      </w:r>
      <w:r w:rsidRPr="0002711A">
        <w:rPr>
          <w:rFonts w:ascii="Times New Roman" w:hAnsi="Times New Roman"/>
          <w:smallCaps/>
          <w:lang w:val="it-IT"/>
        </w:rPr>
        <w:t>Giovanni Paolo II</w:t>
      </w:r>
      <w:r w:rsidRPr="0002711A">
        <w:rPr>
          <w:rFonts w:ascii="Times New Roman" w:hAnsi="Times New Roman"/>
          <w:lang w:val="it-IT"/>
        </w:rPr>
        <w:t xml:space="preserve">, </w:t>
      </w:r>
      <w:r w:rsidRPr="0002711A">
        <w:rPr>
          <w:rFonts w:ascii="Times New Roman" w:hAnsi="Times New Roman"/>
          <w:i/>
          <w:lang w:val="it-IT"/>
        </w:rPr>
        <w:t>Discorsi alla Rota Romana</w:t>
      </w:r>
      <w:r w:rsidRPr="0002711A">
        <w:rPr>
          <w:rFonts w:ascii="Times New Roman" w:hAnsi="Times New Roman"/>
          <w:lang w:val="it-IT"/>
        </w:rPr>
        <w:t xml:space="preserve">: 5 febbraio 1987, in </w:t>
      </w:r>
      <w:r w:rsidRPr="0002711A">
        <w:rPr>
          <w:rFonts w:ascii="Times New Roman" w:hAnsi="Times New Roman"/>
          <w:i/>
          <w:lang w:val="it-IT"/>
        </w:rPr>
        <w:t>AAS</w:t>
      </w:r>
      <w:r w:rsidRPr="0002711A">
        <w:rPr>
          <w:rFonts w:ascii="Times New Roman" w:hAnsi="Times New Roman"/>
          <w:lang w:val="it-IT"/>
        </w:rPr>
        <w:t xml:space="preserve"> 79 (1987), p. 1457; 25 gennaio 1988, in AAS, 80 (1988), p. 1180-1183; 27 gennaio 1997, in AAS 89 (1997), p. 486-489.</w:t>
      </w:r>
    </w:p>
  </w:footnote>
  <w:footnote w:id="58">
    <w:p w14:paraId="4F2EF6C2" w14:textId="77777777" w:rsidR="0057532C" w:rsidRPr="0002711A" w:rsidRDefault="0057532C" w:rsidP="0002711A">
      <w:pPr>
        <w:pStyle w:val="Testonotaapidipagina"/>
        <w:spacing w:before="120" w:after="0"/>
        <w:ind w:firstLine="567"/>
        <w:rPr>
          <w:rFonts w:ascii="Times New Roman" w:hAnsi="Times New Roman"/>
          <w:lang w:val="it-IT"/>
        </w:rPr>
      </w:pPr>
      <w:r w:rsidRPr="0002711A">
        <w:rPr>
          <w:rStyle w:val="Rimandonotaapidipagina"/>
          <w:rFonts w:ascii="Times New Roman" w:hAnsi="Times New Roman"/>
        </w:rPr>
        <w:footnoteRef/>
      </w:r>
      <w:r w:rsidRPr="00266DC2">
        <w:rPr>
          <w:rFonts w:ascii="Times New Roman" w:hAnsi="Times New Roman"/>
          <w:lang w:val="it-IT"/>
        </w:rPr>
        <w:t xml:space="preserve"> </w:t>
      </w:r>
      <w:r w:rsidRPr="0002711A">
        <w:rPr>
          <w:rFonts w:ascii="Times New Roman" w:hAnsi="Times New Roman"/>
          <w:smallCaps/>
          <w:lang w:val="it-IT"/>
        </w:rPr>
        <w:t>Benedetto XVI</w:t>
      </w:r>
      <w:r w:rsidRPr="0002711A">
        <w:rPr>
          <w:rFonts w:ascii="Times New Roman" w:hAnsi="Times New Roman"/>
          <w:lang w:val="it-IT"/>
        </w:rPr>
        <w:t xml:space="preserve">, </w:t>
      </w:r>
      <w:r w:rsidRPr="0002711A">
        <w:rPr>
          <w:rFonts w:ascii="Times New Roman" w:hAnsi="Times New Roman"/>
          <w:i/>
          <w:lang w:val="it-IT"/>
        </w:rPr>
        <w:t>Discorso alla Rota Romana</w:t>
      </w:r>
      <w:r w:rsidRPr="0002711A">
        <w:rPr>
          <w:rFonts w:ascii="Times New Roman" w:hAnsi="Times New Roman"/>
          <w:lang w:val="it-IT"/>
        </w:rPr>
        <w:t xml:space="preserve">, 29 gennaio 2009, </w:t>
      </w:r>
      <w:r w:rsidRPr="00266DC2">
        <w:rPr>
          <w:rFonts w:ascii="Times New Roman" w:hAnsi="Times New Roman"/>
          <w:bCs/>
          <w:lang w:val="it-IT" w:eastAsia="it-IT"/>
        </w:rPr>
        <w:t>in AAS 101 (2009), p. 124-128.</w:t>
      </w:r>
    </w:p>
  </w:footnote>
  <w:footnote w:id="59">
    <w:p w14:paraId="57BD5F25" w14:textId="77777777" w:rsidR="0057532C" w:rsidRPr="0002711A" w:rsidRDefault="0057532C" w:rsidP="0002711A">
      <w:pPr>
        <w:pStyle w:val="Testonotaapidipagina"/>
        <w:spacing w:before="120" w:after="0"/>
        <w:ind w:firstLine="567"/>
        <w:rPr>
          <w:rFonts w:ascii="Times New Roman" w:hAnsi="Times New Roman"/>
          <w:lang w:val="it-IT"/>
        </w:rPr>
      </w:pPr>
      <w:r w:rsidRPr="0002711A">
        <w:rPr>
          <w:rStyle w:val="Rimandonotaapidipagina"/>
          <w:rFonts w:ascii="Times New Roman" w:hAnsi="Times New Roman"/>
          <w:lang w:val="it-IT"/>
        </w:rPr>
        <w:footnoteRef/>
      </w:r>
      <w:r w:rsidRPr="0002711A">
        <w:rPr>
          <w:rFonts w:ascii="Times New Roman" w:hAnsi="Times New Roman"/>
          <w:lang w:val="it-IT"/>
        </w:rPr>
        <w:t xml:space="preserve"> </w:t>
      </w:r>
      <w:r w:rsidRPr="0002711A">
        <w:rPr>
          <w:rFonts w:ascii="Times New Roman" w:hAnsi="Times New Roman"/>
          <w:smallCaps/>
          <w:lang w:val="it-IT"/>
        </w:rPr>
        <w:t>Giovanni Paolo II</w:t>
      </w:r>
      <w:r w:rsidRPr="0002711A">
        <w:rPr>
          <w:rFonts w:ascii="Times New Roman" w:hAnsi="Times New Roman"/>
          <w:lang w:val="it-IT"/>
        </w:rPr>
        <w:t xml:space="preserve">, </w:t>
      </w:r>
      <w:r w:rsidRPr="0002711A">
        <w:rPr>
          <w:rFonts w:ascii="Times New Roman" w:hAnsi="Times New Roman"/>
          <w:i/>
          <w:lang w:val="it-IT"/>
        </w:rPr>
        <w:t>Discorso alla Rota Romana,</w:t>
      </w:r>
      <w:r w:rsidRPr="0002711A">
        <w:rPr>
          <w:rFonts w:ascii="Times New Roman" w:hAnsi="Times New Roman"/>
          <w:lang w:val="it-IT"/>
        </w:rPr>
        <w:t xml:space="preserve"> 27 gennaio 1997, cit., n. 5.</w:t>
      </w:r>
    </w:p>
  </w:footnote>
  <w:footnote w:id="60">
    <w:p w14:paraId="16F7F326" w14:textId="608495B7" w:rsidR="0057532C" w:rsidRPr="0002711A" w:rsidRDefault="0057532C" w:rsidP="0002711A">
      <w:pPr>
        <w:pStyle w:val="Testonotaapidipagina"/>
        <w:spacing w:before="120" w:after="0"/>
        <w:ind w:firstLine="567"/>
        <w:rPr>
          <w:rFonts w:ascii="Times New Roman" w:hAnsi="Times New Roman"/>
          <w:lang w:val="it-IT"/>
        </w:rPr>
      </w:pPr>
      <w:r w:rsidRPr="0002711A">
        <w:rPr>
          <w:rStyle w:val="Rimandonotaapidipagina"/>
          <w:rFonts w:ascii="Times New Roman" w:hAnsi="Times New Roman"/>
          <w:lang w:val="it-IT"/>
        </w:rPr>
        <w:footnoteRef/>
      </w:r>
      <w:r w:rsidRPr="0002711A">
        <w:rPr>
          <w:rFonts w:ascii="Times New Roman" w:hAnsi="Times New Roman"/>
          <w:lang w:val="it-IT"/>
        </w:rPr>
        <w:t xml:space="preserve"> Cfr. P. </w:t>
      </w:r>
      <w:r>
        <w:rPr>
          <w:rFonts w:ascii="Times New Roman" w:hAnsi="Times New Roman"/>
          <w:smallCaps/>
          <w:lang w:val="it-IT"/>
        </w:rPr>
        <w:t>Lombardía</w:t>
      </w:r>
      <w:r w:rsidRPr="0002711A">
        <w:rPr>
          <w:rFonts w:ascii="Times New Roman" w:hAnsi="Times New Roman"/>
          <w:smallCaps/>
          <w:lang w:val="it-IT"/>
        </w:rPr>
        <w:t>-J. Hervada</w:t>
      </w:r>
      <w:r w:rsidRPr="0002711A">
        <w:rPr>
          <w:rFonts w:ascii="Times New Roman" w:hAnsi="Times New Roman"/>
          <w:lang w:val="it-IT"/>
        </w:rPr>
        <w:t xml:space="preserve">, </w:t>
      </w:r>
      <w:r w:rsidRPr="0002711A">
        <w:rPr>
          <w:rFonts w:ascii="Times New Roman" w:hAnsi="Times New Roman"/>
          <w:i/>
          <w:lang w:val="it-IT"/>
        </w:rPr>
        <w:t>Introducción al Derecho Canónico</w:t>
      </w:r>
      <w:r w:rsidRPr="0002711A">
        <w:rPr>
          <w:rFonts w:ascii="Times New Roman" w:hAnsi="Times New Roman"/>
          <w:lang w:val="it-IT"/>
        </w:rPr>
        <w:t xml:space="preserve">, cit., p. 50. Una conseguenza della relazione tra diritto divino e diritto umano è la gerarchia che esiste tra di essi e la necessità di confrontare le formalizzazioni umane con le esigenze che derivano dal diritto divino: «Accanto all’unità si dà una gerarchia tra entrambi i diritti. Il diritto divino è </w:t>
      </w:r>
      <w:r w:rsidRPr="0002711A">
        <w:rPr>
          <w:rFonts w:ascii="Times New Roman" w:hAnsi="Times New Roman"/>
          <w:i/>
          <w:lang w:val="it-IT"/>
        </w:rPr>
        <w:t>legge fondamentale</w:t>
      </w:r>
      <w:r w:rsidRPr="0002711A">
        <w:rPr>
          <w:rFonts w:ascii="Times New Roman" w:hAnsi="Times New Roman"/>
          <w:lang w:val="it-IT"/>
        </w:rPr>
        <w:t xml:space="preserve">, è </w:t>
      </w:r>
      <w:r w:rsidRPr="0002711A">
        <w:rPr>
          <w:rFonts w:ascii="Times New Roman" w:hAnsi="Times New Roman"/>
          <w:i/>
          <w:lang w:val="it-IT"/>
        </w:rPr>
        <w:t>base necessaria</w:t>
      </w:r>
      <w:r w:rsidRPr="0002711A">
        <w:rPr>
          <w:rFonts w:ascii="Times New Roman" w:hAnsi="Times New Roman"/>
          <w:lang w:val="it-IT"/>
        </w:rPr>
        <w:t xml:space="preserve"> ed è </w:t>
      </w:r>
      <w:r w:rsidRPr="0002711A">
        <w:rPr>
          <w:rFonts w:ascii="Times New Roman" w:hAnsi="Times New Roman"/>
          <w:i/>
          <w:lang w:val="it-IT"/>
        </w:rPr>
        <w:t>limite</w:t>
      </w:r>
      <w:r w:rsidRPr="0002711A">
        <w:rPr>
          <w:rFonts w:ascii="Times New Roman" w:hAnsi="Times New Roman"/>
          <w:lang w:val="it-IT"/>
        </w:rPr>
        <w:t xml:space="preserve"> del diritto umano. Perciò, le norme umane contrarie al diritto divino vengono esautorate dalle norme divine (vere istanze canoniche superiori, in parole di Journet) le quali, per essere di rango superiore, provocano la loro invalidità in alcuni casi, sempre la loro illiceità, e la loro riformabilità o necessario adeguamento quando, senza essere contrarie al diritto divino, sono semplicemente inadeguate ad esso».</w:t>
      </w:r>
    </w:p>
  </w:footnote>
  <w:footnote w:id="61">
    <w:p w14:paraId="4137B113" w14:textId="77777777" w:rsidR="0057532C" w:rsidRPr="0002711A" w:rsidRDefault="0057532C" w:rsidP="0002711A">
      <w:pPr>
        <w:pStyle w:val="Testonotaapidipagina"/>
        <w:spacing w:before="120" w:after="0"/>
        <w:ind w:firstLine="567"/>
        <w:rPr>
          <w:rFonts w:ascii="Times New Roman" w:hAnsi="Times New Roman"/>
          <w:lang w:val="it-IT"/>
        </w:rPr>
      </w:pPr>
      <w:r w:rsidRPr="0002711A">
        <w:rPr>
          <w:rStyle w:val="Rimandonotaapidipagina"/>
          <w:rFonts w:ascii="Times New Roman" w:hAnsi="Times New Roman"/>
          <w:lang w:val="it-IT"/>
        </w:rPr>
        <w:footnoteRef/>
      </w:r>
      <w:r w:rsidRPr="0002711A">
        <w:rPr>
          <w:rFonts w:ascii="Times New Roman" w:hAnsi="Times New Roman"/>
          <w:lang w:val="it-IT"/>
        </w:rPr>
        <w:t xml:space="preserve"> </w:t>
      </w:r>
      <w:r w:rsidRPr="0002711A">
        <w:rPr>
          <w:rFonts w:ascii="Times New Roman" w:hAnsi="Times New Roman"/>
          <w:smallCaps/>
          <w:lang w:val="it-IT"/>
        </w:rPr>
        <w:t>P. J. Viladrich</w:t>
      </w:r>
      <w:r w:rsidRPr="0002711A">
        <w:rPr>
          <w:rFonts w:ascii="Times New Roman" w:hAnsi="Times New Roman"/>
          <w:lang w:val="it-IT"/>
        </w:rPr>
        <w:t xml:space="preserve">, </w:t>
      </w:r>
      <w:r w:rsidRPr="0002711A">
        <w:rPr>
          <w:rFonts w:ascii="Times New Roman" w:hAnsi="Times New Roman"/>
          <w:i/>
          <w:lang w:val="it-IT"/>
        </w:rPr>
        <w:t>È necessaria una riforma del canone 1095?</w:t>
      </w:r>
      <w:r w:rsidRPr="0002711A">
        <w:rPr>
          <w:rFonts w:ascii="Times New Roman" w:hAnsi="Times New Roman"/>
          <w:lang w:val="it-IT"/>
        </w:rPr>
        <w:t xml:space="preserve">, in </w:t>
      </w:r>
      <w:r w:rsidRPr="0002711A">
        <w:rPr>
          <w:rFonts w:ascii="Times New Roman" w:hAnsi="Times New Roman"/>
          <w:smallCaps/>
          <w:lang w:val="it-IT"/>
        </w:rPr>
        <w:t>H. Franceschi-M.A. Ortiz</w:t>
      </w:r>
      <w:r w:rsidRPr="0002711A">
        <w:rPr>
          <w:rFonts w:ascii="Times New Roman" w:hAnsi="Times New Roman"/>
          <w:lang w:val="it-IT"/>
        </w:rPr>
        <w:t xml:space="preserve"> (a cura di), </w:t>
      </w:r>
      <w:r w:rsidRPr="0002711A">
        <w:rPr>
          <w:rFonts w:ascii="Times New Roman" w:hAnsi="Times New Roman"/>
          <w:i/>
          <w:lang w:val="it-IT"/>
        </w:rPr>
        <w:t>La ricerca della verità sul matrimonio e il diritto a un processo giusto e celere</w:t>
      </w:r>
      <w:r w:rsidRPr="0002711A">
        <w:rPr>
          <w:rFonts w:ascii="Times New Roman" w:hAnsi="Times New Roman"/>
          <w:lang w:val="it-IT"/>
        </w:rPr>
        <w:t>, Edusc, Roma 2012, p. 221-222.</w:t>
      </w:r>
    </w:p>
  </w:footnote>
  <w:footnote w:id="62">
    <w:p w14:paraId="10910F8E" w14:textId="77777777" w:rsidR="0057532C" w:rsidRPr="0002711A" w:rsidRDefault="0057532C" w:rsidP="0002711A">
      <w:pPr>
        <w:pStyle w:val="Testonotaapidipagina"/>
        <w:spacing w:before="120" w:after="0"/>
        <w:ind w:firstLine="567"/>
        <w:rPr>
          <w:rFonts w:ascii="Times New Roman" w:hAnsi="Times New Roman"/>
          <w:lang w:val="it-IT"/>
        </w:rPr>
      </w:pPr>
      <w:r w:rsidRPr="0002711A">
        <w:rPr>
          <w:rStyle w:val="Rimandonotaapidipagina"/>
          <w:rFonts w:ascii="Times New Roman" w:hAnsi="Times New Roman"/>
        </w:rPr>
        <w:footnoteRef/>
      </w:r>
      <w:r w:rsidRPr="00266DC2">
        <w:rPr>
          <w:rFonts w:ascii="Times New Roman" w:hAnsi="Times New Roman"/>
          <w:lang w:val="it-IT"/>
        </w:rPr>
        <w:t xml:space="preserve"> </w:t>
      </w:r>
      <w:r w:rsidRPr="00266DC2">
        <w:rPr>
          <w:rFonts w:ascii="Times New Roman" w:hAnsi="Times New Roman"/>
          <w:smallCaps/>
          <w:lang w:val="it-IT"/>
        </w:rPr>
        <w:t>C.J. Errázuriz M</w:t>
      </w:r>
      <w:r w:rsidRPr="00266DC2">
        <w:rPr>
          <w:rFonts w:ascii="Times New Roman" w:hAnsi="Times New Roman"/>
          <w:lang w:val="it-IT"/>
        </w:rPr>
        <w:t xml:space="preserve">., </w:t>
      </w:r>
      <w:r w:rsidRPr="00266DC2">
        <w:rPr>
          <w:rFonts w:ascii="Times New Roman" w:hAnsi="Times New Roman"/>
          <w:i/>
          <w:lang w:val="it-IT"/>
        </w:rPr>
        <w:t xml:space="preserve">Il problema dell'autonomia dell'incapacità di assumere gli obblighi matrimoniali essenziali (can. 1095, 3º): presupposti fondamentali, </w:t>
      </w:r>
      <w:r w:rsidRPr="00266DC2">
        <w:rPr>
          <w:rFonts w:ascii="Times New Roman" w:hAnsi="Times New Roman"/>
          <w:lang w:val="it-IT"/>
        </w:rPr>
        <w:t xml:space="preserve">in </w:t>
      </w:r>
      <w:r w:rsidRPr="00266DC2">
        <w:rPr>
          <w:rFonts w:ascii="Times New Roman" w:hAnsi="Times New Roman"/>
          <w:smallCaps/>
          <w:lang w:val="it-IT"/>
        </w:rPr>
        <w:t>H. Franceschi-M.A. Ortiz</w:t>
      </w:r>
      <w:r w:rsidRPr="00266DC2">
        <w:rPr>
          <w:rFonts w:ascii="Times New Roman" w:hAnsi="Times New Roman"/>
          <w:lang w:val="it-IT"/>
        </w:rPr>
        <w:t xml:space="preserve"> (a cura di), </w:t>
      </w:r>
      <w:r w:rsidRPr="0002711A">
        <w:rPr>
          <w:rFonts w:ascii="Times New Roman" w:hAnsi="Times New Roman"/>
          <w:i/>
          <w:lang w:val="it-IT"/>
        </w:rPr>
        <w:t>Discrezione di giudizio e capacità di assumere: la formulazione del canone 1095</w:t>
      </w:r>
      <w:r w:rsidRPr="0002711A">
        <w:rPr>
          <w:rFonts w:ascii="Times New Roman" w:hAnsi="Times New Roman"/>
          <w:lang w:val="it-IT"/>
        </w:rPr>
        <w:t>, Giuffrè, Milano 2013, p. 222.</w:t>
      </w:r>
    </w:p>
  </w:footnote>
  <w:footnote w:id="63">
    <w:p w14:paraId="280E7269" w14:textId="77777777" w:rsidR="0057532C" w:rsidRPr="0002711A" w:rsidRDefault="0057532C" w:rsidP="0002711A">
      <w:pPr>
        <w:pStyle w:val="Testonotaapidipagina"/>
        <w:spacing w:before="120" w:after="0"/>
        <w:ind w:firstLine="567"/>
        <w:rPr>
          <w:rFonts w:ascii="Times New Roman" w:hAnsi="Times New Roman"/>
          <w:lang w:val="it-IT"/>
        </w:rPr>
      </w:pPr>
      <w:r w:rsidRPr="0002711A">
        <w:rPr>
          <w:rStyle w:val="Rimandonotaapidipagina"/>
          <w:rFonts w:ascii="Times New Roman" w:hAnsi="Times New Roman"/>
        </w:rPr>
        <w:footnoteRef/>
      </w:r>
      <w:r w:rsidRPr="00266DC2">
        <w:rPr>
          <w:rFonts w:ascii="Times New Roman" w:hAnsi="Times New Roman"/>
          <w:lang w:val="it-IT"/>
        </w:rPr>
        <w:t xml:space="preserve"> </w:t>
      </w:r>
      <w:r w:rsidRPr="0002711A">
        <w:rPr>
          <w:rFonts w:ascii="Times New Roman" w:hAnsi="Times New Roman"/>
          <w:smallCaps/>
          <w:lang w:val="it-IT"/>
        </w:rPr>
        <w:t>Giovanni Paolo II</w:t>
      </w:r>
      <w:r w:rsidRPr="0002711A">
        <w:rPr>
          <w:rFonts w:ascii="Times New Roman" w:hAnsi="Times New Roman"/>
          <w:lang w:val="it-IT"/>
        </w:rPr>
        <w:t xml:space="preserve">, </w:t>
      </w:r>
      <w:r w:rsidRPr="0002711A">
        <w:rPr>
          <w:rFonts w:ascii="Times New Roman" w:hAnsi="Times New Roman"/>
          <w:i/>
          <w:lang w:val="it-IT"/>
        </w:rPr>
        <w:t>Discorso alla Rota Romana</w:t>
      </w:r>
      <w:r w:rsidRPr="0002711A">
        <w:rPr>
          <w:rFonts w:ascii="Times New Roman" w:hAnsi="Times New Roman"/>
          <w:lang w:val="it-IT"/>
        </w:rPr>
        <w:t xml:space="preserve">, 25 gennaio 1988, n. 3, in </w:t>
      </w:r>
      <w:r w:rsidRPr="0002711A">
        <w:rPr>
          <w:rFonts w:ascii="Times New Roman" w:hAnsi="Times New Roman"/>
          <w:i/>
          <w:lang w:val="it-IT"/>
        </w:rPr>
        <w:t>AAS</w:t>
      </w:r>
      <w:r w:rsidRPr="0002711A">
        <w:rPr>
          <w:rFonts w:ascii="Times New Roman" w:hAnsi="Times New Roman"/>
          <w:lang w:val="it-IT"/>
        </w:rPr>
        <w:t>, 80 (1988), p. 1178-1185.</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CFAFCE" w14:textId="77777777" w:rsidR="0057532C" w:rsidRDefault="0057532C" w:rsidP="00743B11">
    <w:pPr>
      <w:pStyle w:val="Intestazione"/>
      <w:framePr w:wrap="around"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end"/>
    </w:r>
  </w:p>
  <w:p w14:paraId="71984574" w14:textId="77777777" w:rsidR="0057532C" w:rsidRDefault="0057532C" w:rsidP="00743B11">
    <w:pPr>
      <w:pStyle w:val="Intestazione"/>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C855BDC" w14:textId="77777777" w:rsidR="0057532C" w:rsidRDefault="0057532C" w:rsidP="00743B11">
    <w:pPr>
      <w:pStyle w:val="Intestazione"/>
      <w:framePr w:wrap="around" w:vAnchor="text" w:hAnchor="margin" w:xAlign="right" w:y="-644"/>
      <w:rPr>
        <w:rStyle w:val="Numeropagina"/>
      </w:rPr>
    </w:pPr>
    <w:r>
      <w:rPr>
        <w:rStyle w:val="Numeropagina"/>
      </w:rPr>
      <w:fldChar w:fldCharType="begin"/>
    </w:r>
    <w:r>
      <w:rPr>
        <w:rStyle w:val="Numeropagina"/>
      </w:rPr>
      <w:instrText xml:space="preserve">PAGE  </w:instrText>
    </w:r>
    <w:r>
      <w:rPr>
        <w:rStyle w:val="Numeropagina"/>
      </w:rPr>
      <w:fldChar w:fldCharType="separate"/>
    </w:r>
    <w:r w:rsidR="0090277D">
      <w:rPr>
        <w:rStyle w:val="Numeropagina"/>
        <w:noProof/>
      </w:rPr>
      <w:t>22</w:t>
    </w:r>
    <w:r>
      <w:rPr>
        <w:rStyle w:val="Numeropagina"/>
      </w:rPr>
      <w:fldChar w:fldCharType="end"/>
    </w:r>
  </w:p>
  <w:p w14:paraId="7321BD18" w14:textId="77777777" w:rsidR="0057532C" w:rsidRDefault="0057532C" w:rsidP="00743B11">
    <w:pPr>
      <w:pStyle w:val="Intestazione"/>
      <w:ind w:right="360"/>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80"/>
  <w:embedSystemFonts/>
  <w:defaultTabStop w:val="708"/>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4279"/>
    <w:rsid w:val="0002711A"/>
    <w:rsid w:val="00042F7B"/>
    <w:rsid w:val="0008753D"/>
    <w:rsid w:val="000B77B8"/>
    <w:rsid w:val="000C54FD"/>
    <w:rsid w:val="000E59AA"/>
    <w:rsid w:val="000F5D44"/>
    <w:rsid w:val="00121079"/>
    <w:rsid w:val="00172E8E"/>
    <w:rsid w:val="00184227"/>
    <w:rsid w:val="001E212D"/>
    <w:rsid w:val="001E2A4A"/>
    <w:rsid w:val="002342A3"/>
    <w:rsid w:val="002618D3"/>
    <w:rsid w:val="00266DC2"/>
    <w:rsid w:val="00273282"/>
    <w:rsid w:val="002B7706"/>
    <w:rsid w:val="002C7715"/>
    <w:rsid w:val="002D3122"/>
    <w:rsid w:val="002D4332"/>
    <w:rsid w:val="002D592F"/>
    <w:rsid w:val="00324D38"/>
    <w:rsid w:val="00341FA0"/>
    <w:rsid w:val="00342C8D"/>
    <w:rsid w:val="00370408"/>
    <w:rsid w:val="003A574F"/>
    <w:rsid w:val="003C2089"/>
    <w:rsid w:val="0040341B"/>
    <w:rsid w:val="00413B75"/>
    <w:rsid w:val="00431A26"/>
    <w:rsid w:val="00443A47"/>
    <w:rsid w:val="00445F0B"/>
    <w:rsid w:val="004730F6"/>
    <w:rsid w:val="00495EDE"/>
    <w:rsid w:val="00501C2D"/>
    <w:rsid w:val="00516CAD"/>
    <w:rsid w:val="0057532C"/>
    <w:rsid w:val="00585697"/>
    <w:rsid w:val="005A6342"/>
    <w:rsid w:val="005E3CFA"/>
    <w:rsid w:val="005E5159"/>
    <w:rsid w:val="006B6FD6"/>
    <w:rsid w:val="006C3F43"/>
    <w:rsid w:val="006C7A53"/>
    <w:rsid w:val="006D1437"/>
    <w:rsid w:val="00743B11"/>
    <w:rsid w:val="00762769"/>
    <w:rsid w:val="00770AB3"/>
    <w:rsid w:val="007800F1"/>
    <w:rsid w:val="007C67F5"/>
    <w:rsid w:val="00835803"/>
    <w:rsid w:val="0085666D"/>
    <w:rsid w:val="008B57E8"/>
    <w:rsid w:val="008C6931"/>
    <w:rsid w:val="008E2121"/>
    <w:rsid w:val="0090277D"/>
    <w:rsid w:val="0097261D"/>
    <w:rsid w:val="009D4A0C"/>
    <w:rsid w:val="009E739D"/>
    <w:rsid w:val="00A109FA"/>
    <w:rsid w:val="00A50F6C"/>
    <w:rsid w:val="00AA4F95"/>
    <w:rsid w:val="00AC09EA"/>
    <w:rsid w:val="00AE5EBB"/>
    <w:rsid w:val="00B414B5"/>
    <w:rsid w:val="00B7673D"/>
    <w:rsid w:val="00B97D17"/>
    <w:rsid w:val="00BB40DF"/>
    <w:rsid w:val="00BD53CA"/>
    <w:rsid w:val="00BE5498"/>
    <w:rsid w:val="00BF0A1B"/>
    <w:rsid w:val="00C50D8B"/>
    <w:rsid w:val="00C63400"/>
    <w:rsid w:val="00C82D76"/>
    <w:rsid w:val="00CA4002"/>
    <w:rsid w:val="00CB6CD2"/>
    <w:rsid w:val="00CD4F48"/>
    <w:rsid w:val="00D55A06"/>
    <w:rsid w:val="00D94E4F"/>
    <w:rsid w:val="00DB5550"/>
    <w:rsid w:val="00DB5829"/>
    <w:rsid w:val="00DC64B3"/>
    <w:rsid w:val="00DE4FB0"/>
    <w:rsid w:val="00E1730B"/>
    <w:rsid w:val="00E54622"/>
    <w:rsid w:val="00E546DE"/>
    <w:rsid w:val="00ED0EC0"/>
    <w:rsid w:val="00EE3A3A"/>
    <w:rsid w:val="00F302F8"/>
    <w:rsid w:val="00F342C6"/>
    <w:rsid w:val="00F51768"/>
    <w:rsid w:val="00F84279"/>
    <w:rsid w:val="00F87DFE"/>
    <w:rsid w:val="00FA2431"/>
    <w:rsid w:val="00FB2A02"/>
    <w:rsid w:val="00FC4863"/>
    <w:rsid w:val="00FD55A2"/>
    <w:rsid w:val="00FF75D8"/>
  </w:rsids>
  <m:mathPr>
    <m:mathFont m:val="Cambria Math"/>
    <m:brkBin m:val="before"/>
    <m:brkBinSub m:val="--"/>
    <m:smallFrac/>
    <m:dispDef/>
    <m:lMargin m:val="0"/>
    <m:rMargin m:val="0"/>
    <m:defJc m:val="centerGroup"/>
    <m:wrapIndent m:val="1440"/>
    <m:intLim m:val="subSup"/>
    <m:naryLim m:val="undOvr"/>
  </m:mathPr>
  <w:themeFontLang w:val="it-IT"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oNotEmbedSmartTags/>
  <w:decimalSymbol w:val=","/>
  <w:listSeparator w:val=";"/>
  <w14:docId w14:val="1AEC0D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IT" w:eastAsia="it-IT"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semiHidden="0" w:uiPriority="35" w:unhideWhenUsed="0"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324D38"/>
    <w:pPr>
      <w:widowControl w:val="0"/>
      <w:suppressAutoHyphens/>
      <w:spacing w:before="120" w:after="120"/>
      <w:ind w:firstLine="567"/>
      <w:jc w:val="both"/>
    </w:pPr>
    <w:rPr>
      <w:rFonts w:eastAsia="Times"/>
      <w:sz w:val="24"/>
      <w:lang w:eastAsia="ar-SA"/>
    </w:rPr>
  </w:style>
  <w:style w:type="paragraph" w:styleId="Titolo1">
    <w:name w:val="heading 1"/>
    <w:basedOn w:val="Normale"/>
    <w:next w:val="Normale"/>
    <w:qFormat/>
    <w:rsid w:val="00324D38"/>
    <w:pPr>
      <w:keepNext/>
      <w:numPr>
        <w:numId w:val="1"/>
      </w:numPr>
      <w:spacing w:before="240"/>
      <w:outlineLvl w:val="0"/>
    </w:pPr>
    <w:rPr>
      <w:b/>
      <w:kern w:val="1"/>
      <w:szCs w:val="32"/>
    </w:rPr>
  </w:style>
  <w:style w:type="character" w:default="1" w:styleId="Carattere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rsid w:val="00324D38"/>
  </w:style>
  <w:style w:type="character" w:customStyle="1" w:styleId="WW-Absatz-Standardschriftart">
    <w:name w:val="WW-Absatz-Standardschriftart"/>
    <w:rsid w:val="00324D38"/>
  </w:style>
  <w:style w:type="character" w:customStyle="1" w:styleId="WW-Absatz-Standardschriftart1">
    <w:name w:val="WW-Absatz-Standardschriftart1"/>
    <w:rsid w:val="00324D38"/>
  </w:style>
  <w:style w:type="character" w:customStyle="1" w:styleId="WW-Absatz-Standardschriftart11">
    <w:name w:val="WW-Absatz-Standardschriftart11"/>
    <w:rsid w:val="00324D38"/>
  </w:style>
  <w:style w:type="character" w:customStyle="1" w:styleId="WW-Absatz-Standardschriftart111">
    <w:name w:val="WW-Absatz-Standardschriftart111"/>
    <w:rsid w:val="00324D38"/>
  </w:style>
  <w:style w:type="character" w:customStyle="1" w:styleId="Carpredefinitoparagrafo">
    <w:name w:val="Car. predefinito paragrafo"/>
    <w:rsid w:val="00324D38"/>
  </w:style>
  <w:style w:type="character" w:customStyle="1" w:styleId="Caratteredellanota">
    <w:name w:val="Carattere della nota"/>
    <w:rsid w:val="00324D38"/>
    <w:rPr>
      <w:position w:val="2"/>
      <w:sz w:val="20"/>
    </w:rPr>
  </w:style>
  <w:style w:type="character" w:customStyle="1" w:styleId="CarattereCarattere">
    <w:name w:val="Carattere Carattere"/>
    <w:rsid w:val="00324D38"/>
    <w:rPr>
      <w:rFonts w:ascii="Tahoma" w:eastAsia="Times" w:hAnsi="Tahoma" w:cs="Tahoma"/>
      <w:sz w:val="16"/>
      <w:szCs w:val="16"/>
    </w:rPr>
  </w:style>
  <w:style w:type="character" w:styleId="Numeropagina">
    <w:name w:val="page number"/>
    <w:basedOn w:val="Carpredefinitoparagrafo"/>
    <w:rsid w:val="00324D38"/>
  </w:style>
  <w:style w:type="character" w:styleId="Numeroriga">
    <w:name w:val="line number"/>
    <w:basedOn w:val="Carpredefinitoparagrafo"/>
    <w:rsid w:val="00324D38"/>
  </w:style>
  <w:style w:type="character" w:styleId="Rimandonotaapidipagina">
    <w:name w:val="footnote reference"/>
    <w:rsid w:val="00324D38"/>
    <w:rPr>
      <w:vertAlign w:val="superscript"/>
    </w:rPr>
  </w:style>
  <w:style w:type="character" w:customStyle="1" w:styleId="Caratterenotadichiusura">
    <w:name w:val="Carattere nota di chiusura"/>
    <w:rsid w:val="00324D38"/>
    <w:rPr>
      <w:vertAlign w:val="superscript"/>
    </w:rPr>
  </w:style>
  <w:style w:type="character" w:customStyle="1" w:styleId="WW-Caratterenotadichiusura">
    <w:name w:val="WW-Carattere nota di chiusura"/>
    <w:rsid w:val="00324D38"/>
  </w:style>
  <w:style w:type="character" w:styleId="Rimandonotadichiusura">
    <w:name w:val="endnote reference"/>
    <w:rsid w:val="00324D38"/>
    <w:rPr>
      <w:vertAlign w:val="superscript"/>
    </w:rPr>
  </w:style>
  <w:style w:type="paragraph" w:styleId="Intestazione">
    <w:name w:val="header"/>
    <w:basedOn w:val="Normale"/>
    <w:next w:val="Corpodeltesto"/>
    <w:rsid w:val="00324D38"/>
  </w:style>
  <w:style w:type="paragraph" w:styleId="Corpodeltesto">
    <w:name w:val="Body Text"/>
    <w:basedOn w:val="Normale"/>
    <w:rsid w:val="00324D38"/>
    <w:pPr>
      <w:spacing w:before="240"/>
      <w:ind w:firstLine="560"/>
    </w:pPr>
    <w:rPr>
      <w:rFonts w:ascii="Palatino" w:eastAsia="Times New Roman" w:hAnsi="Palatino"/>
    </w:rPr>
  </w:style>
  <w:style w:type="paragraph" w:styleId="Elenco">
    <w:name w:val="List"/>
    <w:basedOn w:val="Corpodeltesto"/>
    <w:rsid w:val="00324D38"/>
  </w:style>
  <w:style w:type="paragraph" w:styleId="Didascalia">
    <w:name w:val="caption"/>
    <w:basedOn w:val="Normale"/>
    <w:qFormat/>
    <w:rsid w:val="00324D38"/>
    <w:pPr>
      <w:suppressLineNumbers/>
    </w:pPr>
    <w:rPr>
      <w:i/>
      <w:iCs/>
      <w:szCs w:val="24"/>
    </w:rPr>
  </w:style>
  <w:style w:type="paragraph" w:customStyle="1" w:styleId="Indice">
    <w:name w:val="Indice"/>
    <w:basedOn w:val="Normale"/>
    <w:rsid w:val="00324D38"/>
    <w:pPr>
      <w:suppressLineNumbers/>
    </w:pPr>
  </w:style>
  <w:style w:type="paragraph" w:customStyle="1" w:styleId="n">
    <w:name w:val="n"/>
    <w:basedOn w:val="Normale"/>
    <w:rsid w:val="00324D38"/>
    <w:rPr>
      <w:lang w:val="es-ES_tradnl"/>
    </w:rPr>
  </w:style>
  <w:style w:type="paragraph" w:styleId="Testonotaapidipagina">
    <w:name w:val="footnote text"/>
    <w:basedOn w:val="Normale"/>
    <w:rsid w:val="00324D38"/>
    <w:pPr>
      <w:spacing w:before="0" w:after="60"/>
      <w:ind w:firstLine="709"/>
    </w:pPr>
    <w:rPr>
      <w:rFonts w:ascii="Times" w:eastAsia="Times New Roman" w:hAnsi="Times"/>
      <w:sz w:val="20"/>
      <w:lang w:val="en-US"/>
    </w:rPr>
  </w:style>
  <w:style w:type="paragraph" w:styleId="Rientrocorpodeltesto">
    <w:name w:val="Body Text Indent"/>
    <w:basedOn w:val="Normale"/>
    <w:rsid w:val="00324D38"/>
    <w:pPr>
      <w:ind w:left="283"/>
    </w:pPr>
  </w:style>
  <w:style w:type="paragraph" w:styleId="Testofumetto">
    <w:name w:val="Balloon Text"/>
    <w:basedOn w:val="Normale"/>
    <w:rsid w:val="00324D38"/>
    <w:pPr>
      <w:spacing w:before="0" w:after="0"/>
    </w:pPr>
    <w:rPr>
      <w:rFonts w:ascii="Tahoma" w:hAnsi="Tahoma" w:cs="Tahoma"/>
      <w:sz w:val="16"/>
      <w:szCs w:val="16"/>
    </w:rPr>
  </w:style>
  <w:style w:type="paragraph" w:customStyle="1" w:styleId="Contenutocornice">
    <w:name w:val="Contenuto cornice"/>
    <w:basedOn w:val="Corpodeltesto"/>
    <w:rsid w:val="00324D38"/>
  </w:style>
  <w:style w:type="paragraph" w:styleId="Pidipagina">
    <w:name w:val="footer"/>
    <w:basedOn w:val="Normale"/>
    <w:rsid w:val="00324D38"/>
    <w:pPr>
      <w:suppressLineNumbers/>
      <w:tabs>
        <w:tab w:val="center" w:pos="4819"/>
        <w:tab w:val="right" w:pos="9638"/>
      </w:tabs>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IT" w:eastAsia="it-IT"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semiHidden="0" w:uiPriority="35" w:unhideWhenUsed="0"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324D38"/>
    <w:pPr>
      <w:widowControl w:val="0"/>
      <w:suppressAutoHyphens/>
      <w:spacing w:before="120" w:after="120"/>
      <w:ind w:firstLine="567"/>
      <w:jc w:val="both"/>
    </w:pPr>
    <w:rPr>
      <w:rFonts w:eastAsia="Times"/>
      <w:sz w:val="24"/>
      <w:lang w:eastAsia="ar-SA"/>
    </w:rPr>
  </w:style>
  <w:style w:type="paragraph" w:styleId="Titolo1">
    <w:name w:val="heading 1"/>
    <w:basedOn w:val="Normale"/>
    <w:next w:val="Normale"/>
    <w:qFormat/>
    <w:rsid w:val="00324D38"/>
    <w:pPr>
      <w:keepNext/>
      <w:numPr>
        <w:numId w:val="1"/>
      </w:numPr>
      <w:spacing w:before="240"/>
      <w:outlineLvl w:val="0"/>
    </w:pPr>
    <w:rPr>
      <w:b/>
      <w:kern w:val="1"/>
      <w:szCs w:val="32"/>
    </w:rPr>
  </w:style>
  <w:style w:type="character" w:default="1" w:styleId="Carattere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rsid w:val="00324D38"/>
  </w:style>
  <w:style w:type="character" w:customStyle="1" w:styleId="WW-Absatz-Standardschriftart">
    <w:name w:val="WW-Absatz-Standardschriftart"/>
    <w:rsid w:val="00324D38"/>
  </w:style>
  <w:style w:type="character" w:customStyle="1" w:styleId="WW-Absatz-Standardschriftart1">
    <w:name w:val="WW-Absatz-Standardschriftart1"/>
    <w:rsid w:val="00324D38"/>
  </w:style>
  <w:style w:type="character" w:customStyle="1" w:styleId="WW-Absatz-Standardschriftart11">
    <w:name w:val="WW-Absatz-Standardschriftart11"/>
    <w:rsid w:val="00324D38"/>
  </w:style>
  <w:style w:type="character" w:customStyle="1" w:styleId="WW-Absatz-Standardschriftart111">
    <w:name w:val="WW-Absatz-Standardschriftart111"/>
    <w:rsid w:val="00324D38"/>
  </w:style>
  <w:style w:type="character" w:customStyle="1" w:styleId="Carpredefinitoparagrafo">
    <w:name w:val="Car. predefinito paragrafo"/>
    <w:rsid w:val="00324D38"/>
  </w:style>
  <w:style w:type="character" w:customStyle="1" w:styleId="Caratteredellanota">
    <w:name w:val="Carattere della nota"/>
    <w:rsid w:val="00324D38"/>
    <w:rPr>
      <w:position w:val="2"/>
      <w:sz w:val="20"/>
    </w:rPr>
  </w:style>
  <w:style w:type="character" w:customStyle="1" w:styleId="CarattereCarattere">
    <w:name w:val="Carattere Carattere"/>
    <w:rsid w:val="00324D38"/>
    <w:rPr>
      <w:rFonts w:ascii="Tahoma" w:eastAsia="Times" w:hAnsi="Tahoma" w:cs="Tahoma"/>
      <w:sz w:val="16"/>
      <w:szCs w:val="16"/>
    </w:rPr>
  </w:style>
  <w:style w:type="character" w:styleId="Numeropagina">
    <w:name w:val="page number"/>
    <w:basedOn w:val="Carpredefinitoparagrafo"/>
    <w:rsid w:val="00324D38"/>
  </w:style>
  <w:style w:type="character" w:styleId="Numeroriga">
    <w:name w:val="line number"/>
    <w:basedOn w:val="Carpredefinitoparagrafo"/>
    <w:rsid w:val="00324D38"/>
  </w:style>
  <w:style w:type="character" w:styleId="Rimandonotaapidipagina">
    <w:name w:val="footnote reference"/>
    <w:rsid w:val="00324D38"/>
    <w:rPr>
      <w:vertAlign w:val="superscript"/>
    </w:rPr>
  </w:style>
  <w:style w:type="character" w:customStyle="1" w:styleId="Caratterenotadichiusura">
    <w:name w:val="Carattere nota di chiusura"/>
    <w:rsid w:val="00324D38"/>
    <w:rPr>
      <w:vertAlign w:val="superscript"/>
    </w:rPr>
  </w:style>
  <w:style w:type="character" w:customStyle="1" w:styleId="WW-Caratterenotadichiusura">
    <w:name w:val="WW-Carattere nota di chiusura"/>
    <w:rsid w:val="00324D38"/>
  </w:style>
  <w:style w:type="character" w:styleId="Rimandonotadichiusura">
    <w:name w:val="endnote reference"/>
    <w:rsid w:val="00324D38"/>
    <w:rPr>
      <w:vertAlign w:val="superscript"/>
    </w:rPr>
  </w:style>
  <w:style w:type="paragraph" w:styleId="Intestazione">
    <w:name w:val="header"/>
    <w:basedOn w:val="Normale"/>
    <w:next w:val="Corpodeltesto"/>
    <w:rsid w:val="00324D38"/>
  </w:style>
  <w:style w:type="paragraph" w:styleId="Corpodeltesto">
    <w:name w:val="Body Text"/>
    <w:basedOn w:val="Normale"/>
    <w:rsid w:val="00324D38"/>
    <w:pPr>
      <w:spacing w:before="240"/>
      <w:ind w:firstLine="560"/>
    </w:pPr>
    <w:rPr>
      <w:rFonts w:ascii="Palatino" w:eastAsia="Times New Roman" w:hAnsi="Palatino"/>
    </w:rPr>
  </w:style>
  <w:style w:type="paragraph" w:styleId="Elenco">
    <w:name w:val="List"/>
    <w:basedOn w:val="Corpodeltesto"/>
    <w:rsid w:val="00324D38"/>
  </w:style>
  <w:style w:type="paragraph" w:styleId="Didascalia">
    <w:name w:val="caption"/>
    <w:basedOn w:val="Normale"/>
    <w:qFormat/>
    <w:rsid w:val="00324D38"/>
    <w:pPr>
      <w:suppressLineNumbers/>
    </w:pPr>
    <w:rPr>
      <w:i/>
      <w:iCs/>
      <w:szCs w:val="24"/>
    </w:rPr>
  </w:style>
  <w:style w:type="paragraph" w:customStyle="1" w:styleId="Indice">
    <w:name w:val="Indice"/>
    <w:basedOn w:val="Normale"/>
    <w:rsid w:val="00324D38"/>
    <w:pPr>
      <w:suppressLineNumbers/>
    </w:pPr>
  </w:style>
  <w:style w:type="paragraph" w:customStyle="1" w:styleId="n">
    <w:name w:val="n"/>
    <w:basedOn w:val="Normale"/>
    <w:rsid w:val="00324D38"/>
    <w:rPr>
      <w:lang w:val="es-ES_tradnl"/>
    </w:rPr>
  </w:style>
  <w:style w:type="paragraph" w:styleId="Testonotaapidipagina">
    <w:name w:val="footnote text"/>
    <w:basedOn w:val="Normale"/>
    <w:rsid w:val="00324D38"/>
    <w:pPr>
      <w:spacing w:before="0" w:after="60"/>
      <w:ind w:firstLine="709"/>
    </w:pPr>
    <w:rPr>
      <w:rFonts w:ascii="Times" w:eastAsia="Times New Roman" w:hAnsi="Times"/>
      <w:sz w:val="20"/>
      <w:lang w:val="en-US"/>
    </w:rPr>
  </w:style>
  <w:style w:type="paragraph" w:styleId="Rientrocorpodeltesto">
    <w:name w:val="Body Text Indent"/>
    <w:basedOn w:val="Normale"/>
    <w:rsid w:val="00324D38"/>
    <w:pPr>
      <w:ind w:left="283"/>
    </w:pPr>
  </w:style>
  <w:style w:type="paragraph" w:styleId="Testofumetto">
    <w:name w:val="Balloon Text"/>
    <w:basedOn w:val="Normale"/>
    <w:rsid w:val="00324D38"/>
    <w:pPr>
      <w:spacing w:before="0" w:after="0"/>
    </w:pPr>
    <w:rPr>
      <w:rFonts w:ascii="Tahoma" w:hAnsi="Tahoma" w:cs="Tahoma"/>
      <w:sz w:val="16"/>
      <w:szCs w:val="16"/>
    </w:rPr>
  </w:style>
  <w:style w:type="paragraph" w:customStyle="1" w:styleId="Contenutocornice">
    <w:name w:val="Contenuto cornice"/>
    <w:basedOn w:val="Corpodeltesto"/>
    <w:rsid w:val="00324D38"/>
  </w:style>
  <w:style w:type="paragraph" w:styleId="Pidipagina">
    <w:name w:val="footer"/>
    <w:basedOn w:val="Normale"/>
    <w:rsid w:val="00324D38"/>
    <w:pPr>
      <w:suppressLineNumbers/>
      <w:tabs>
        <w:tab w:val="center" w:pos="4819"/>
        <w:tab w:val="right" w:pos="9638"/>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23</Pages>
  <Words>11803</Words>
  <Characters>67280</Characters>
  <Application>Microsoft Macintosh Word</Application>
  <DocSecurity>0</DocSecurity>
  <Lines>560</Lines>
  <Paragraphs>157</Paragraphs>
  <ScaleCrop>false</ScaleCrop>
  <HeadingPairs>
    <vt:vector size="2" baseType="variant">
      <vt:variant>
        <vt:lpstr>Titolo</vt:lpstr>
      </vt:variant>
      <vt:variant>
        <vt:i4>1</vt:i4>
      </vt:variant>
    </vt:vector>
  </HeadingPairs>
  <TitlesOfParts>
    <vt:vector size="1" baseType="lpstr">
      <vt:lpstr>Querido Carlos José:</vt:lpstr>
    </vt:vector>
  </TitlesOfParts>
  <Company>Università Santa Croce</Company>
  <LinksUpToDate>false</LinksUpToDate>
  <CharactersWithSpaces>78926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Querido Carlos José:</dc:title>
  <dc:subject/>
  <dc:creator>Hector Franceschi</dc:creator>
  <cp:keywords/>
  <cp:lastModifiedBy>Héctor Franceschi</cp:lastModifiedBy>
  <cp:revision>5</cp:revision>
  <cp:lastPrinted>2013-07-17T17:07:00Z</cp:lastPrinted>
  <dcterms:created xsi:type="dcterms:W3CDTF">2014-01-27T17:28:00Z</dcterms:created>
  <dcterms:modified xsi:type="dcterms:W3CDTF">2015-03-31T12:30:00Z</dcterms:modified>
</cp:coreProperties>
</file>